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54D"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" fillcolor="#a5a5a5 [2092]" stroked="f" strokeweight=".5pt">
                <v:textbox>
                  <w:txbxContent>
                    <w:p w:rsidR="00E61C82" w:rsidRDefault="00E61C82"/>
                  </w:txbxContent>
                </v:textbox>
              </v:shape>
            </w:pict>
          </mc:Fallback>
        </mc:AlternateContent>
      </w:r>
      <w:r w:rsidR="006C2FB5" w:rsidRPr="006C2FB5">
        <w:rPr>
          <w:rFonts w:ascii="Times New Roman" w:hAnsi="Times New Roman" w:cs="Times New Roman"/>
          <w:noProof/>
          <w:sz w:val="24"/>
        </w:rPr>
        <w:drawing>
          <wp:anchor distT="0" distB="0" distL="114300" distR="114300" simplePos="0" relativeHeight="251659264" behindDoc="0" locked="0" layoutInCell="1" allowOverlap="1">
            <wp:simplePos x="0" y="0"/>
            <wp:positionH relativeFrom="column">
              <wp:posOffset>4789805</wp:posOffset>
            </wp:positionH>
            <wp:positionV relativeFrom="paragraph">
              <wp:posOffset>-321374</wp:posOffset>
            </wp:positionV>
            <wp:extent cx="1134745" cy="843280"/>
            <wp:effectExtent l="0" t="0" r="8255" b="0"/>
            <wp:wrapNone/>
            <wp:docPr id="2" name="Picture 2" descr="U:\Logo Files\Logo BW\Payson Final Logo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ogo Files\Logo BW\Payson Final Logo BW.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4745" cy="843280"/>
                    </a:xfrm>
                    <a:prstGeom prst="rect">
                      <a:avLst/>
                    </a:prstGeom>
                    <a:noFill/>
                    <a:ln>
                      <a:noFill/>
                    </a:ln>
                  </pic:spPr>
                </pic:pic>
              </a:graphicData>
            </a:graphic>
            <wp14:sizeRelH relativeFrom="page">
              <wp14:pctWidth>0</wp14:pctWidth>
            </wp14:sizeRelH>
            <wp14:sizeRelV relativeFrom="page">
              <wp14:pctHeight>0</wp14:pctHeight>
            </wp14:sizeRelV>
          </wp:anchor>
        </w:drawing>
      </w:r>
      <w:r w:rsidR="00FF663F">
        <w:rPr>
          <w:rFonts w:ascii="Times New Roman" w:hAnsi="Times New Roman" w:cs="Times New Roman"/>
          <w:b/>
          <w:color w:val="2F5496" w:themeColor="accent5" w:themeShade="BF"/>
          <w:sz w:val="28"/>
        </w:rPr>
        <w:t>Planning Commission</w:t>
      </w:r>
      <w:r w:rsidR="005052B1">
        <w:rPr>
          <w:rFonts w:ascii="Times New Roman" w:hAnsi="Times New Roman" w:cs="Times New Roman"/>
          <w:b/>
          <w:color w:val="2F5496" w:themeColor="accent5" w:themeShade="BF"/>
          <w:sz w:val="28"/>
        </w:rPr>
        <w:t xml:space="preserve"> Staff Report</w:t>
      </w:r>
    </w:p>
    <w:p w:rsidR="006D5C24" w:rsidRPr="006D5C24" w:rsidRDefault="005F05C2" w:rsidP="006D5C24">
      <w:pPr>
        <w:spacing w:after="0"/>
        <w:rPr>
          <w:rFonts w:ascii="Times New Roman" w:hAnsi="Times New Roman" w:cs="Times New Roman"/>
        </w:rPr>
      </w:pPr>
      <w:r>
        <w:rPr>
          <w:rFonts w:ascii="Times New Roman" w:hAnsi="Times New Roman" w:cs="Times New Roman"/>
          <w:b/>
          <w:color w:val="2F5496" w:themeColor="accent5" w:themeShade="BF"/>
          <w:sz w:val="28"/>
        </w:rPr>
        <w:t>May 26, 2021</w:t>
      </w:r>
    </w:p>
    <w:p w:rsidR="005052B1" w:rsidRDefault="009A4E6E"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1905000</wp:posOffset>
                </wp:positionH>
                <wp:positionV relativeFrom="paragraph">
                  <wp:posOffset>177800</wp:posOffset>
                </wp:positionV>
                <wp:extent cx="4129405" cy="7600950"/>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600950"/>
                        </a:xfrm>
                        <a:prstGeom prst="rect">
                          <a:avLst/>
                        </a:prstGeom>
                        <a:solidFill>
                          <a:schemeClr val="lt1"/>
                        </a:solidFill>
                        <a:ln w="6350">
                          <a:noFill/>
                        </a:ln>
                      </wps:spPr>
                      <wps:txbx>
                        <w:txbxContent>
                          <w:p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rsidR="005F05C2" w:rsidRDefault="005F05C2" w:rsidP="00EA6C73">
                            <w:pPr>
                              <w:spacing w:after="0"/>
                              <w:jc w:val="both"/>
                              <w:rPr>
                                <w:rFonts w:ascii="Times New Roman" w:hAnsi="Times New Roman" w:cs="Times New Roman"/>
                                <w:sz w:val="20"/>
                                <w:szCs w:val="24"/>
                              </w:rPr>
                            </w:pPr>
                            <w:r>
                              <w:rPr>
                                <w:rFonts w:ascii="Times New Roman" w:hAnsi="Times New Roman" w:cs="Times New Roman"/>
                                <w:sz w:val="20"/>
                                <w:szCs w:val="24"/>
                              </w:rPr>
                              <w:t>The applicants are requesting the following approvals</w:t>
                            </w:r>
                            <w:r w:rsidR="00B9578B">
                              <w:rPr>
                                <w:rFonts w:ascii="Times New Roman" w:hAnsi="Times New Roman" w:cs="Times New Roman"/>
                                <w:sz w:val="20"/>
                                <w:szCs w:val="24"/>
                              </w:rPr>
                              <w:t xml:space="preserve"> at this time</w:t>
                            </w:r>
                            <w:r>
                              <w:rPr>
                                <w:rFonts w:ascii="Times New Roman" w:hAnsi="Times New Roman" w:cs="Times New Roman"/>
                                <w:sz w:val="20"/>
                                <w:szCs w:val="24"/>
                              </w:rPr>
                              <w:t>:</w:t>
                            </w:r>
                          </w:p>
                          <w:p w:rsidR="00B9578B" w:rsidRDefault="00B9578B" w:rsidP="00EA6C73">
                            <w:pPr>
                              <w:spacing w:after="0"/>
                              <w:jc w:val="both"/>
                              <w:rPr>
                                <w:rFonts w:ascii="Times New Roman" w:hAnsi="Times New Roman" w:cs="Times New Roman"/>
                                <w:sz w:val="20"/>
                                <w:szCs w:val="24"/>
                              </w:rPr>
                            </w:pPr>
                          </w:p>
                          <w:p w:rsidR="00AB0B40" w:rsidRPr="00AB0B40" w:rsidRDefault="00AB0B40" w:rsidP="00AB0B40">
                            <w:pPr>
                              <w:pStyle w:val="ListParagraph"/>
                              <w:numPr>
                                <w:ilvl w:val="0"/>
                                <w:numId w:val="24"/>
                              </w:numPr>
                              <w:spacing w:after="0"/>
                              <w:jc w:val="both"/>
                              <w:rPr>
                                <w:rFonts w:ascii="Times New Roman" w:hAnsi="Times New Roman" w:cs="Times New Roman"/>
                                <w:sz w:val="12"/>
                                <w:szCs w:val="12"/>
                              </w:rPr>
                            </w:pPr>
                            <w:r>
                              <w:rPr>
                                <w:rFonts w:ascii="Times New Roman" w:hAnsi="Times New Roman" w:cs="Times New Roman"/>
                                <w:sz w:val="20"/>
                                <w:szCs w:val="24"/>
                              </w:rPr>
                              <w:t>Preliminary Plan and Final Plat approval of South Haven Farms Plat B, a two-lot subdivision that would give the clubhouse area its own parcel</w:t>
                            </w:r>
                          </w:p>
                          <w:p w:rsidR="00B9578B" w:rsidRPr="00B9578B" w:rsidRDefault="00B9578B" w:rsidP="00B9578B">
                            <w:pPr>
                              <w:pStyle w:val="ListParagraph"/>
                              <w:numPr>
                                <w:ilvl w:val="0"/>
                                <w:numId w:val="24"/>
                              </w:numPr>
                              <w:spacing w:after="0"/>
                              <w:jc w:val="both"/>
                              <w:rPr>
                                <w:rFonts w:ascii="Times New Roman" w:hAnsi="Times New Roman" w:cs="Times New Roman"/>
                                <w:sz w:val="12"/>
                                <w:szCs w:val="12"/>
                              </w:rPr>
                            </w:pPr>
                            <w:r w:rsidRPr="00B9578B">
                              <w:rPr>
                                <w:rFonts w:ascii="Times New Roman" w:hAnsi="Times New Roman" w:cs="Times New Roman"/>
                                <w:sz w:val="20"/>
                                <w:szCs w:val="24"/>
                              </w:rPr>
                              <w:t>Preliminary and Final Plan approval of VALO at South Haven Farms</w:t>
                            </w:r>
                            <w:r>
                              <w:rPr>
                                <w:rFonts w:ascii="Times New Roman" w:hAnsi="Times New Roman" w:cs="Times New Roman"/>
                                <w:sz w:val="20"/>
                                <w:szCs w:val="24"/>
                              </w:rPr>
                              <w:t>, a 101-lot townhome proposal on Utah County Parcel 66:747:0004</w:t>
                            </w:r>
                          </w:p>
                          <w:p w:rsidR="00B9578B" w:rsidRPr="00B9578B" w:rsidRDefault="00B9578B" w:rsidP="00B9578B">
                            <w:pPr>
                              <w:pStyle w:val="ListParagraph"/>
                              <w:numPr>
                                <w:ilvl w:val="0"/>
                                <w:numId w:val="24"/>
                              </w:numPr>
                              <w:spacing w:after="0"/>
                              <w:jc w:val="both"/>
                              <w:rPr>
                                <w:rFonts w:ascii="Times New Roman" w:hAnsi="Times New Roman" w:cs="Times New Roman"/>
                                <w:sz w:val="12"/>
                                <w:szCs w:val="12"/>
                              </w:rPr>
                            </w:pPr>
                            <w:r>
                              <w:rPr>
                                <w:rFonts w:ascii="Times New Roman" w:hAnsi="Times New Roman" w:cs="Times New Roman"/>
                                <w:sz w:val="20"/>
                                <w:szCs w:val="24"/>
                              </w:rPr>
                              <w:t>Approval of the proposed private road layout</w:t>
                            </w:r>
                          </w:p>
                          <w:p w:rsidR="00B9578B" w:rsidRDefault="00B9578B" w:rsidP="00B9578B">
                            <w:pPr>
                              <w:spacing w:after="0"/>
                              <w:jc w:val="both"/>
                              <w:rPr>
                                <w:rFonts w:ascii="Times New Roman" w:hAnsi="Times New Roman" w:cs="Times New Roman"/>
                                <w:sz w:val="12"/>
                                <w:szCs w:val="12"/>
                              </w:rPr>
                            </w:pPr>
                          </w:p>
                          <w:p w:rsidR="00B9578B" w:rsidRPr="00B9578B" w:rsidRDefault="00B9578B" w:rsidP="00B9578B">
                            <w:pPr>
                              <w:spacing w:after="0"/>
                              <w:jc w:val="both"/>
                              <w:rPr>
                                <w:rFonts w:ascii="Times New Roman" w:hAnsi="Times New Roman" w:cs="Times New Roman"/>
                                <w:sz w:val="12"/>
                                <w:szCs w:val="12"/>
                              </w:rPr>
                            </w:pPr>
                          </w:p>
                          <w:p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rsidR="00494176" w:rsidRDefault="00494176" w:rsidP="000C3A8C">
                            <w:pPr>
                              <w:spacing w:after="0"/>
                              <w:jc w:val="both"/>
                              <w:rPr>
                                <w:rFonts w:ascii="Times New Roman" w:hAnsi="Times New Roman" w:cs="Times New Roman"/>
                                <w:sz w:val="12"/>
                                <w:szCs w:val="12"/>
                              </w:rPr>
                            </w:pPr>
                            <w:r>
                              <w:rPr>
                                <w:rFonts w:ascii="Times New Roman" w:hAnsi="Times New Roman" w:cs="Times New Roman"/>
                                <w:sz w:val="20"/>
                                <w:szCs w:val="24"/>
                              </w:rPr>
                              <w:t xml:space="preserve">The property was annexed into the municipal boundaries on August 6, 2019 as part of the Holdaway-Pleasant Flats Addition Annexation. Zoning was assigned at the time of annexation and </w:t>
                            </w:r>
                            <w:r w:rsidR="00B9578B">
                              <w:rPr>
                                <w:rFonts w:ascii="Times New Roman" w:hAnsi="Times New Roman" w:cs="Times New Roman"/>
                                <w:sz w:val="20"/>
                                <w:szCs w:val="24"/>
                              </w:rPr>
                              <w:t xml:space="preserve">anticipates a mix of commercial and residential uses in this area. After annexation, this area was subdivided into four quadrants with unique zoning designations (see below). The </w:t>
                            </w:r>
                            <w:r w:rsidR="00F32822">
                              <w:rPr>
                                <w:rFonts w:ascii="Times New Roman" w:hAnsi="Times New Roman" w:cs="Times New Roman"/>
                                <w:sz w:val="20"/>
                                <w:szCs w:val="24"/>
                              </w:rPr>
                              <w:t>current proposals all apply</w:t>
                            </w:r>
                            <w:r w:rsidR="00B9578B">
                              <w:rPr>
                                <w:rFonts w:ascii="Times New Roman" w:hAnsi="Times New Roman" w:cs="Times New Roman"/>
                                <w:sz w:val="20"/>
                                <w:szCs w:val="24"/>
                              </w:rPr>
                              <w:t xml:space="preserve"> to the parcel shown as RMF-15 below.</w:t>
                            </w:r>
                          </w:p>
                          <w:p w:rsidR="009A4E6E" w:rsidRPr="009A4E6E" w:rsidRDefault="009A4E6E" w:rsidP="000C3A8C">
                            <w:pPr>
                              <w:spacing w:after="0"/>
                              <w:jc w:val="both"/>
                              <w:rPr>
                                <w:rFonts w:ascii="Times New Roman" w:hAnsi="Times New Roman" w:cs="Times New Roman"/>
                                <w:sz w:val="12"/>
                                <w:szCs w:val="12"/>
                              </w:rPr>
                            </w:pPr>
                          </w:p>
                          <w:p w:rsidR="00494176" w:rsidRDefault="00494176" w:rsidP="000C3A8C">
                            <w:pPr>
                              <w:spacing w:after="0"/>
                              <w:jc w:val="both"/>
                              <w:rPr>
                                <w:rFonts w:ascii="Times New Roman" w:hAnsi="Times New Roman" w:cs="Times New Roman"/>
                                <w:sz w:val="20"/>
                                <w:szCs w:val="24"/>
                              </w:rPr>
                            </w:pPr>
                            <w:r>
                              <w:rPr>
                                <w:noProof/>
                              </w:rPr>
                              <w:drawing>
                                <wp:inline distT="0" distB="0" distL="0" distR="0" wp14:anchorId="26238396" wp14:editId="3EC0ECD0">
                                  <wp:extent cx="3940175" cy="23882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2388235"/>
                                          </a:xfrm>
                                          <a:prstGeom prst="rect">
                                            <a:avLst/>
                                          </a:prstGeom>
                                        </pic:spPr>
                                      </pic:pic>
                                    </a:graphicData>
                                  </a:graphic>
                                </wp:inline>
                              </w:drawing>
                            </w:r>
                          </w:p>
                          <w:p w:rsidR="00494176" w:rsidRDefault="00494176" w:rsidP="00494176">
                            <w:pPr>
                              <w:pStyle w:val="BodyText"/>
                              <w:ind w:left="0"/>
                              <w:jc w:val="both"/>
                              <w:rPr>
                                <w:rFonts w:eastAsiaTheme="minorHAnsi" w:cs="Times New Roman"/>
                                <w:sz w:val="12"/>
                                <w:szCs w:val="12"/>
                              </w:rPr>
                            </w:pPr>
                          </w:p>
                          <w:p w:rsidR="009A4E6E" w:rsidRPr="009A4E6E" w:rsidRDefault="009A4E6E" w:rsidP="00494176">
                            <w:pPr>
                              <w:pStyle w:val="BodyText"/>
                              <w:ind w:left="0"/>
                              <w:jc w:val="both"/>
                              <w:rPr>
                                <w:rFonts w:cs="Times New Roman"/>
                                <w:sz w:val="12"/>
                                <w:szCs w:val="12"/>
                              </w:rPr>
                            </w:pPr>
                          </w:p>
                          <w:p w:rsidR="009F6A69" w:rsidRDefault="00B9578B" w:rsidP="00494176">
                            <w:pPr>
                              <w:pStyle w:val="BodyText"/>
                              <w:ind w:left="0"/>
                              <w:jc w:val="both"/>
                            </w:pPr>
                            <w:r>
                              <w:t>In the annexation agreement, it specifies that the RMF-15 parcel shall not exceed 12 units per acre. This was calculated based upon the gross area of the parcel (i.e., before roads and improvements). As such, the applicant’s proposal of 101 total units in this development is within the parameters outlined in the annexation agreement (12 units per acre x 8.71 acres – 104.52 units).</w:t>
                            </w:r>
                          </w:p>
                          <w:p w:rsidR="00B9578B" w:rsidRDefault="00B9578B" w:rsidP="00494176">
                            <w:pPr>
                              <w:pStyle w:val="BodyText"/>
                              <w:ind w:left="0"/>
                              <w:jc w:val="both"/>
                            </w:pPr>
                          </w:p>
                          <w:p w:rsidR="00494176" w:rsidRPr="00B9578B" w:rsidRDefault="00B9578B" w:rsidP="00B9578B">
                            <w:pPr>
                              <w:pStyle w:val="BodyText"/>
                              <w:ind w:left="0"/>
                              <w:jc w:val="both"/>
                              <w:rPr>
                                <w:rFonts w:cs="Times New Roman"/>
                                <w:szCs w:val="24"/>
                              </w:rPr>
                            </w:pPr>
                            <w:r>
                              <w:t>Typically, the required amenities in any RMF Multi-Family Residential Zone are used exclusively by the parcel requesting approval. This particular request is unique in that the applicant is proposing that the clubhouse parcel will be shared by both VALO at South Haven Far</w:t>
                            </w:r>
                            <w:r w:rsidR="001A1A41">
                              <w:t>ms (proposed) and the Residence</w:t>
                            </w:r>
                            <w:r>
                              <w:t xml:space="preserve"> at South Haven Farms (approved in 2020). The planning commission and city council will need to determine during their review process whether or not the proposed amenity schedule will meet the needs of </w:t>
                            </w:r>
                            <w:r>
                              <w:rPr>
                                <w:i/>
                              </w:rPr>
                              <w:t xml:space="preserve">both </w:t>
                            </w:r>
                            <w:r>
                              <w:t>multifamily developments. In short, 311 total units will have access to the clubhouse parcel</w:t>
                            </w:r>
                          </w:p>
                          <w:p w:rsidR="00494176" w:rsidRDefault="00494176" w:rsidP="000C3A8C">
                            <w:pPr>
                              <w:spacing w:after="0"/>
                              <w:jc w:val="both"/>
                              <w:rPr>
                                <w:rFonts w:ascii="Times New Roman" w:hAnsi="Times New Roman" w:cs="Times New Roman"/>
                                <w:sz w:val="20"/>
                                <w:szCs w:val="24"/>
                              </w:rPr>
                            </w:pPr>
                          </w:p>
                          <w:p w:rsidR="00494176" w:rsidRDefault="00494176" w:rsidP="000C3A8C">
                            <w:pPr>
                              <w:spacing w:after="0"/>
                              <w:jc w:val="both"/>
                              <w:rPr>
                                <w:rFonts w:ascii="Times New Roman" w:hAnsi="Times New Roman" w:cs="Times New Roman"/>
                                <w:sz w:val="20"/>
                                <w:szCs w:val="24"/>
                              </w:rPr>
                            </w:pPr>
                          </w:p>
                          <w:p w:rsidR="00DE4B26" w:rsidRPr="007121E9" w:rsidRDefault="00DE4B26" w:rsidP="00DE4B26">
                            <w:pPr>
                              <w:spacing w:after="0"/>
                              <w:jc w:val="both"/>
                              <w:rPr>
                                <w:rFonts w:ascii="Times New Roman" w:hAnsi="Times New Roman" w:cs="Times New Roman"/>
                                <w:b/>
                                <w:color w:val="2F5496" w:themeColor="accent5" w:themeShade="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50pt;margin-top:14pt;width:325.15pt;height:5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" fillcolor="white [3201]" stroked="f" strokeweight=".5pt">
                <v:textbox>
                  <w:txbxContent>
                    <w:p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rsidR="005F05C2" w:rsidRDefault="005F05C2" w:rsidP="00EA6C73">
                      <w:pPr>
                        <w:spacing w:after="0"/>
                        <w:jc w:val="both"/>
                        <w:rPr>
                          <w:rFonts w:ascii="Times New Roman" w:hAnsi="Times New Roman" w:cs="Times New Roman"/>
                          <w:sz w:val="20"/>
                          <w:szCs w:val="24"/>
                        </w:rPr>
                      </w:pPr>
                      <w:r>
                        <w:rPr>
                          <w:rFonts w:ascii="Times New Roman" w:hAnsi="Times New Roman" w:cs="Times New Roman"/>
                          <w:sz w:val="20"/>
                          <w:szCs w:val="24"/>
                        </w:rPr>
                        <w:t>The applicants are requesting the following approvals</w:t>
                      </w:r>
                      <w:r w:rsidR="00B9578B">
                        <w:rPr>
                          <w:rFonts w:ascii="Times New Roman" w:hAnsi="Times New Roman" w:cs="Times New Roman"/>
                          <w:sz w:val="20"/>
                          <w:szCs w:val="24"/>
                        </w:rPr>
                        <w:t xml:space="preserve"> at this time</w:t>
                      </w:r>
                      <w:r>
                        <w:rPr>
                          <w:rFonts w:ascii="Times New Roman" w:hAnsi="Times New Roman" w:cs="Times New Roman"/>
                          <w:sz w:val="20"/>
                          <w:szCs w:val="24"/>
                        </w:rPr>
                        <w:t>:</w:t>
                      </w:r>
                    </w:p>
                    <w:p w:rsidR="00B9578B" w:rsidRDefault="00B9578B" w:rsidP="00EA6C73">
                      <w:pPr>
                        <w:spacing w:after="0"/>
                        <w:jc w:val="both"/>
                        <w:rPr>
                          <w:rFonts w:ascii="Times New Roman" w:hAnsi="Times New Roman" w:cs="Times New Roman"/>
                          <w:sz w:val="20"/>
                          <w:szCs w:val="24"/>
                        </w:rPr>
                      </w:pPr>
                    </w:p>
                    <w:p w:rsidR="00AB0B40" w:rsidRPr="00AB0B40" w:rsidRDefault="00AB0B40" w:rsidP="00AB0B40">
                      <w:pPr>
                        <w:pStyle w:val="ListParagraph"/>
                        <w:numPr>
                          <w:ilvl w:val="0"/>
                          <w:numId w:val="24"/>
                        </w:numPr>
                        <w:spacing w:after="0"/>
                        <w:jc w:val="both"/>
                        <w:rPr>
                          <w:rFonts w:ascii="Times New Roman" w:hAnsi="Times New Roman" w:cs="Times New Roman"/>
                          <w:sz w:val="12"/>
                          <w:szCs w:val="12"/>
                        </w:rPr>
                      </w:pPr>
                      <w:r>
                        <w:rPr>
                          <w:rFonts w:ascii="Times New Roman" w:hAnsi="Times New Roman" w:cs="Times New Roman"/>
                          <w:sz w:val="20"/>
                          <w:szCs w:val="24"/>
                        </w:rPr>
                        <w:t>Preliminary Plan and Final Plat approval of South Haven Farms Plat B, a two-lot subdivision that would give the clubhouse area its own parcel</w:t>
                      </w:r>
                    </w:p>
                    <w:p w:rsidR="00B9578B" w:rsidRPr="00B9578B" w:rsidRDefault="00B9578B" w:rsidP="00B9578B">
                      <w:pPr>
                        <w:pStyle w:val="ListParagraph"/>
                        <w:numPr>
                          <w:ilvl w:val="0"/>
                          <w:numId w:val="24"/>
                        </w:numPr>
                        <w:spacing w:after="0"/>
                        <w:jc w:val="both"/>
                        <w:rPr>
                          <w:rFonts w:ascii="Times New Roman" w:hAnsi="Times New Roman" w:cs="Times New Roman"/>
                          <w:sz w:val="12"/>
                          <w:szCs w:val="12"/>
                        </w:rPr>
                      </w:pPr>
                      <w:r w:rsidRPr="00B9578B">
                        <w:rPr>
                          <w:rFonts w:ascii="Times New Roman" w:hAnsi="Times New Roman" w:cs="Times New Roman"/>
                          <w:sz w:val="20"/>
                          <w:szCs w:val="24"/>
                        </w:rPr>
                        <w:t>Preliminary and Final Plan approval of VALO at South Haven Farms</w:t>
                      </w:r>
                      <w:r>
                        <w:rPr>
                          <w:rFonts w:ascii="Times New Roman" w:hAnsi="Times New Roman" w:cs="Times New Roman"/>
                          <w:sz w:val="20"/>
                          <w:szCs w:val="24"/>
                        </w:rPr>
                        <w:t>, a 101-lot townhome proposal on Utah County Parcel 66:747:0004</w:t>
                      </w:r>
                    </w:p>
                    <w:p w:rsidR="00B9578B" w:rsidRPr="00B9578B" w:rsidRDefault="00B9578B" w:rsidP="00B9578B">
                      <w:pPr>
                        <w:pStyle w:val="ListParagraph"/>
                        <w:numPr>
                          <w:ilvl w:val="0"/>
                          <w:numId w:val="24"/>
                        </w:numPr>
                        <w:spacing w:after="0"/>
                        <w:jc w:val="both"/>
                        <w:rPr>
                          <w:rFonts w:ascii="Times New Roman" w:hAnsi="Times New Roman" w:cs="Times New Roman"/>
                          <w:sz w:val="12"/>
                          <w:szCs w:val="12"/>
                        </w:rPr>
                      </w:pPr>
                      <w:r>
                        <w:rPr>
                          <w:rFonts w:ascii="Times New Roman" w:hAnsi="Times New Roman" w:cs="Times New Roman"/>
                          <w:sz w:val="20"/>
                          <w:szCs w:val="24"/>
                        </w:rPr>
                        <w:t>Approval of the proposed private road layout</w:t>
                      </w:r>
                    </w:p>
                    <w:p w:rsidR="00B9578B" w:rsidRDefault="00B9578B" w:rsidP="00B9578B">
                      <w:pPr>
                        <w:spacing w:after="0"/>
                        <w:jc w:val="both"/>
                        <w:rPr>
                          <w:rFonts w:ascii="Times New Roman" w:hAnsi="Times New Roman" w:cs="Times New Roman"/>
                          <w:sz w:val="12"/>
                          <w:szCs w:val="12"/>
                        </w:rPr>
                      </w:pPr>
                    </w:p>
                    <w:p w:rsidR="00B9578B" w:rsidRPr="00B9578B" w:rsidRDefault="00B9578B" w:rsidP="00B9578B">
                      <w:pPr>
                        <w:spacing w:after="0"/>
                        <w:jc w:val="both"/>
                        <w:rPr>
                          <w:rFonts w:ascii="Times New Roman" w:hAnsi="Times New Roman" w:cs="Times New Roman"/>
                          <w:sz w:val="12"/>
                          <w:szCs w:val="12"/>
                        </w:rPr>
                      </w:pPr>
                    </w:p>
                    <w:p w:rsidR="00EA6C73" w:rsidRPr="00F43C3A" w:rsidRDefault="00EA6C73" w:rsidP="00EA6C73">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rsidR="00494176" w:rsidRDefault="00494176" w:rsidP="000C3A8C">
                      <w:pPr>
                        <w:spacing w:after="0"/>
                        <w:jc w:val="both"/>
                        <w:rPr>
                          <w:rFonts w:ascii="Times New Roman" w:hAnsi="Times New Roman" w:cs="Times New Roman"/>
                          <w:sz w:val="12"/>
                          <w:szCs w:val="12"/>
                        </w:rPr>
                      </w:pPr>
                      <w:r>
                        <w:rPr>
                          <w:rFonts w:ascii="Times New Roman" w:hAnsi="Times New Roman" w:cs="Times New Roman"/>
                          <w:sz w:val="20"/>
                          <w:szCs w:val="24"/>
                        </w:rPr>
                        <w:t xml:space="preserve">The property was annexed into the municipal boundaries on August 6, 2019 as part of the Holdaway-Pleasant Flats Addition Annexation. Zoning was assigned at the time of annexation and </w:t>
                      </w:r>
                      <w:r w:rsidR="00B9578B">
                        <w:rPr>
                          <w:rFonts w:ascii="Times New Roman" w:hAnsi="Times New Roman" w:cs="Times New Roman"/>
                          <w:sz w:val="20"/>
                          <w:szCs w:val="24"/>
                        </w:rPr>
                        <w:t xml:space="preserve">anticipates a mix of commercial and residential uses in this area. After annexation, this area was subdivided into four quadrants with unique zoning designations (see below). The </w:t>
                      </w:r>
                      <w:r w:rsidR="00F32822">
                        <w:rPr>
                          <w:rFonts w:ascii="Times New Roman" w:hAnsi="Times New Roman" w:cs="Times New Roman"/>
                          <w:sz w:val="20"/>
                          <w:szCs w:val="24"/>
                        </w:rPr>
                        <w:t>current proposals all apply</w:t>
                      </w:r>
                      <w:r w:rsidR="00B9578B">
                        <w:rPr>
                          <w:rFonts w:ascii="Times New Roman" w:hAnsi="Times New Roman" w:cs="Times New Roman"/>
                          <w:sz w:val="20"/>
                          <w:szCs w:val="24"/>
                        </w:rPr>
                        <w:t xml:space="preserve"> to the parcel shown as RMF-15 below.</w:t>
                      </w:r>
                    </w:p>
                    <w:p w:rsidR="009A4E6E" w:rsidRPr="009A4E6E" w:rsidRDefault="009A4E6E" w:rsidP="000C3A8C">
                      <w:pPr>
                        <w:spacing w:after="0"/>
                        <w:jc w:val="both"/>
                        <w:rPr>
                          <w:rFonts w:ascii="Times New Roman" w:hAnsi="Times New Roman" w:cs="Times New Roman"/>
                          <w:sz w:val="12"/>
                          <w:szCs w:val="12"/>
                        </w:rPr>
                      </w:pPr>
                    </w:p>
                    <w:p w:rsidR="00494176" w:rsidRDefault="00494176" w:rsidP="000C3A8C">
                      <w:pPr>
                        <w:spacing w:after="0"/>
                        <w:jc w:val="both"/>
                        <w:rPr>
                          <w:rFonts w:ascii="Times New Roman" w:hAnsi="Times New Roman" w:cs="Times New Roman"/>
                          <w:sz w:val="20"/>
                          <w:szCs w:val="24"/>
                        </w:rPr>
                      </w:pPr>
                      <w:r>
                        <w:rPr>
                          <w:noProof/>
                        </w:rPr>
                        <w:drawing>
                          <wp:inline distT="0" distB="0" distL="0" distR="0" wp14:anchorId="26238396" wp14:editId="3EC0ECD0">
                            <wp:extent cx="3940175" cy="23882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0175" cy="2388235"/>
                                    </a:xfrm>
                                    <a:prstGeom prst="rect">
                                      <a:avLst/>
                                    </a:prstGeom>
                                  </pic:spPr>
                                </pic:pic>
                              </a:graphicData>
                            </a:graphic>
                          </wp:inline>
                        </w:drawing>
                      </w:r>
                    </w:p>
                    <w:p w:rsidR="00494176" w:rsidRDefault="00494176" w:rsidP="00494176">
                      <w:pPr>
                        <w:pStyle w:val="BodyText"/>
                        <w:ind w:left="0"/>
                        <w:jc w:val="both"/>
                        <w:rPr>
                          <w:rFonts w:eastAsiaTheme="minorHAnsi" w:cs="Times New Roman"/>
                          <w:sz w:val="12"/>
                          <w:szCs w:val="12"/>
                        </w:rPr>
                      </w:pPr>
                    </w:p>
                    <w:p w:rsidR="009A4E6E" w:rsidRPr="009A4E6E" w:rsidRDefault="009A4E6E" w:rsidP="00494176">
                      <w:pPr>
                        <w:pStyle w:val="BodyText"/>
                        <w:ind w:left="0"/>
                        <w:jc w:val="both"/>
                        <w:rPr>
                          <w:rFonts w:cs="Times New Roman"/>
                          <w:sz w:val="12"/>
                          <w:szCs w:val="12"/>
                        </w:rPr>
                      </w:pPr>
                    </w:p>
                    <w:p w:rsidR="009F6A69" w:rsidRDefault="00B9578B" w:rsidP="00494176">
                      <w:pPr>
                        <w:pStyle w:val="BodyText"/>
                        <w:ind w:left="0"/>
                        <w:jc w:val="both"/>
                      </w:pPr>
                      <w:r>
                        <w:t>In the annexation agreement, it specifies that the RMF-15 parcel shall not exceed 12 units per acre. This was calculated based upon the gross area of the parcel (i.e., before roads and improvements). As such, the applicant’s proposal of 101 total units in this development is within the parameters outlined in the annexation agreement (12 units per acre x 8.71 acres – 104.52 units).</w:t>
                      </w:r>
                    </w:p>
                    <w:p w:rsidR="00B9578B" w:rsidRDefault="00B9578B" w:rsidP="00494176">
                      <w:pPr>
                        <w:pStyle w:val="BodyText"/>
                        <w:ind w:left="0"/>
                        <w:jc w:val="both"/>
                      </w:pPr>
                    </w:p>
                    <w:p w:rsidR="00494176" w:rsidRPr="00B9578B" w:rsidRDefault="00B9578B" w:rsidP="00B9578B">
                      <w:pPr>
                        <w:pStyle w:val="BodyText"/>
                        <w:ind w:left="0"/>
                        <w:jc w:val="both"/>
                        <w:rPr>
                          <w:rFonts w:cs="Times New Roman"/>
                          <w:szCs w:val="24"/>
                        </w:rPr>
                      </w:pPr>
                      <w:r>
                        <w:t>Typically, the required amenities in any RMF Multi-Family Residential Zone are used exclusively by the parcel requesting approval. This particular request is unique in that the applicant is proposing that the clubhouse parcel will be shared by both VALO at South Haven Far</w:t>
                      </w:r>
                      <w:r w:rsidR="001A1A41">
                        <w:t>ms (proposed) and the Residence</w:t>
                      </w:r>
                      <w:r>
                        <w:t xml:space="preserve"> at South Haven Farms (approved in 2020). The planning commission and city council will need to determine during their review process whether or not the proposed amenity schedule will meet the needs of </w:t>
                      </w:r>
                      <w:r>
                        <w:rPr>
                          <w:i/>
                        </w:rPr>
                        <w:t xml:space="preserve">both </w:t>
                      </w:r>
                      <w:r>
                        <w:t>multifamily developments. In short, 311 total units will have access to the clubhouse parcel</w:t>
                      </w:r>
                    </w:p>
                    <w:p w:rsidR="00494176" w:rsidRDefault="00494176" w:rsidP="000C3A8C">
                      <w:pPr>
                        <w:spacing w:after="0"/>
                        <w:jc w:val="both"/>
                        <w:rPr>
                          <w:rFonts w:ascii="Times New Roman" w:hAnsi="Times New Roman" w:cs="Times New Roman"/>
                          <w:sz w:val="20"/>
                          <w:szCs w:val="24"/>
                        </w:rPr>
                      </w:pPr>
                    </w:p>
                    <w:p w:rsidR="00494176" w:rsidRDefault="00494176" w:rsidP="000C3A8C">
                      <w:pPr>
                        <w:spacing w:after="0"/>
                        <w:jc w:val="both"/>
                        <w:rPr>
                          <w:rFonts w:ascii="Times New Roman" w:hAnsi="Times New Roman" w:cs="Times New Roman"/>
                          <w:sz w:val="20"/>
                          <w:szCs w:val="24"/>
                        </w:rPr>
                      </w:pPr>
                    </w:p>
                    <w:p w:rsidR="00DE4B26" w:rsidRPr="007121E9" w:rsidRDefault="00DE4B26" w:rsidP="00DE4B26">
                      <w:pPr>
                        <w:spacing w:after="0"/>
                        <w:jc w:val="both"/>
                        <w:rPr>
                          <w:rFonts w:ascii="Times New Roman" w:hAnsi="Times New Roman" w:cs="Times New Roman"/>
                          <w:b/>
                          <w:color w:val="2F5496" w:themeColor="accent5" w:themeShade="BF"/>
                        </w:rPr>
                      </w:pPr>
                    </w:p>
                  </w:txbxContent>
                </v:textbox>
              </v:shape>
            </w:pict>
          </mc:Fallback>
        </mc:AlternateContent>
      </w:r>
    </w:p>
    <w:p w:rsidR="006D5C24" w:rsidRPr="006D5C24" w:rsidRDefault="00EB54DF"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rsidR="00082880" w:rsidRPr="007820DB" w:rsidRDefault="00FF663F" w:rsidP="00494176">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VALO</w:t>
                            </w:r>
                            <w:r w:rsidR="00494176">
                              <w:rPr>
                                <w:rFonts w:ascii="Times New Roman" w:hAnsi="Times New Roman" w:cs="Times New Roman"/>
                                <w:sz w:val="20"/>
                                <w:szCs w:val="20"/>
                              </w:rPr>
                              <w:t xml:space="preserve"> at South Haven Farms</w:t>
                            </w:r>
                            <w:r w:rsidR="00B9578B">
                              <w:rPr>
                                <w:rFonts w:ascii="Times New Roman" w:hAnsi="Times New Roman" w:cs="Times New Roman"/>
                                <w:sz w:val="20"/>
                                <w:szCs w:val="20"/>
                              </w:rPr>
                              <w:t xml:space="preserve"> and South Haven Farms Plat B</w:t>
                            </w:r>
                            <w:r w:rsidR="009455BE">
                              <w:rPr>
                                <w:rFonts w:ascii="Times New Roman" w:hAnsi="Times New Roman" w:cs="Times New Roman"/>
                                <w:sz w:val="20"/>
                                <w:szCs w:val="20"/>
                              </w:rPr>
                              <w:t xml:space="preserve"> </w:t>
                            </w:r>
                          </w:p>
                          <w:p w:rsidR="00082880" w:rsidRPr="007820DB" w:rsidRDefault="00082880" w:rsidP="005052B1">
                            <w:pPr>
                              <w:spacing w:after="0"/>
                              <w:rPr>
                                <w:rFonts w:ascii="Times New Roman" w:hAnsi="Times New Roman" w:cs="Times New Roman"/>
                                <w:b/>
                                <w:sz w:val="20"/>
                                <w:szCs w:val="20"/>
                              </w:rPr>
                            </w:pP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FF663F">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F05C2">
                              <w:rPr>
                                <w:rFonts w:ascii="Times New Roman" w:hAnsi="Times New Roman" w:cs="Times New Roman"/>
                                <w:sz w:val="20"/>
                                <w:szCs w:val="20"/>
                              </w:rPr>
                              <w:t>Tyler Miles and Packer Wilkes, representing owner</w:t>
                            </w:r>
                            <w:r w:rsidR="00C33550">
                              <w:rPr>
                                <w:rFonts w:ascii="Times New Roman" w:hAnsi="Times New Roman" w:cs="Times New Roman"/>
                                <w:sz w:val="20"/>
                                <w:szCs w:val="20"/>
                              </w:rPr>
                              <w:t>s</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rsidR="00062D9C" w:rsidRPr="007820DB" w:rsidRDefault="00082880" w:rsidP="009455BE">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494176">
                              <w:rPr>
                                <w:rFonts w:ascii="Times New Roman" w:hAnsi="Times New Roman" w:cs="Times New Roman"/>
                                <w:sz w:val="20"/>
                                <w:szCs w:val="20"/>
                              </w:rPr>
                              <w:t>South Haven Farms</w:t>
                            </w:r>
                            <w:r w:rsidR="00E2504B">
                              <w:rPr>
                                <w:rFonts w:ascii="Times New Roman" w:hAnsi="Times New Roman" w:cs="Times New Roman"/>
                                <w:sz w:val="20"/>
                                <w:szCs w:val="20"/>
                              </w:rPr>
                              <w:t xml:space="preserve"> </w:t>
                            </w:r>
                            <w:r w:rsidR="00494176">
                              <w:rPr>
                                <w:rFonts w:ascii="Times New Roman" w:hAnsi="Times New Roman" w:cs="Times New Roman"/>
                                <w:sz w:val="20"/>
                                <w:szCs w:val="20"/>
                              </w:rPr>
                              <w:t>L</w:t>
                            </w:r>
                            <w:r w:rsidR="005B2545">
                              <w:rPr>
                                <w:rFonts w:ascii="Times New Roman" w:hAnsi="Times New Roman" w:cs="Times New Roman"/>
                                <w:sz w:val="20"/>
                                <w:szCs w:val="20"/>
                              </w:rPr>
                              <w:t>C</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rsidR="005052B1" w:rsidRPr="007820DB" w:rsidRDefault="00494176"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ab/>
                            </w:r>
                            <w:r w:rsidR="005F05C2">
                              <w:rPr>
                                <w:rFonts w:ascii="Times New Roman" w:hAnsi="Times New Roman" w:cs="Times New Roman"/>
                                <w:sz w:val="20"/>
                                <w:szCs w:val="20"/>
                              </w:rPr>
                              <w:t>West side of 1400 East between 50 South and 100 South</w:t>
                            </w:r>
                            <w:r>
                              <w:rPr>
                                <w:rFonts w:ascii="Times New Roman" w:hAnsi="Times New Roman" w:cs="Times New Roman"/>
                                <w:sz w:val="20"/>
                                <w:szCs w:val="20"/>
                              </w:rPr>
                              <w:t xml:space="preserve"> </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Zone: </w:t>
                            </w:r>
                          </w:p>
                          <w:p w:rsidR="005052B1" w:rsidRPr="007820DB" w:rsidRDefault="005F05C2"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ab/>
                              <w:t>RMF-15</w:t>
                            </w:r>
                            <w:r w:rsidR="00494176">
                              <w:rPr>
                                <w:rFonts w:ascii="Times New Roman" w:hAnsi="Times New Roman" w:cs="Times New Roman"/>
                                <w:sz w:val="20"/>
                                <w:szCs w:val="20"/>
                              </w:rPr>
                              <w:t>, Multi-Family Residential</w:t>
                            </w:r>
                          </w:p>
                          <w:p w:rsidR="00E61C82" w:rsidRPr="007820DB" w:rsidRDefault="00E61C82" w:rsidP="005052B1">
                            <w:pPr>
                              <w:spacing w:after="0"/>
                              <w:rPr>
                                <w:rFonts w:ascii="Times New Roman" w:hAnsi="Times New Roman" w:cs="Times New Roman"/>
                                <w:sz w:val="20"/>
                                <w:szCs w:val="20"/>
                              </w:rPr>
                            </w:pPr>
                          </w:p>
                          <w:p w:rsidR="003C6E21" w:rsidRPr="005F05C2" w:rsidRDefault="003C6E21" w:rsidP="005F05C2">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" fillcolor="white [3201]" stroked="f" strokeweight=".5pt">
                <v:textbox>
                  <w:txbxContent>
                    <w:p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rsidR="00082880" w:rsidRPr="007820DB" w:rsidRDefault="00FF663F" w:rsidP="00494176">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VALO</w:t>
                      </w:r>
                      <w:r w:rsidR="00494176">
                        <w:rPr>
                          <w:rFonts w:ascii="Times New Roman" w:hAnsi="Times New Roman" w:cs="Times New Roman"/>
                          <w:sz w:val="20"/>
                          <w:szCs w:val="20"/>
                        </w:rPr>
                        <w:t xml:space="preserve"> at South Haven Farms</w:t>
                      </w:r>
                      <w:r w:rsidR="00B9578B">
                        <w:rPr>
                          <w:rFonts w:ascii="Times New Roman" w:hAnsi="Times New Roman" w:cs="Times New Roman"/>
                          <w:sz w:val="20"/>
                          <w:szCs w:val="20"/>
                        </w:rPr>
                        <w:t xml:space="preserve"> and South Haven Farms Plat B</w:t>
                      </w:r>
                      <w:r w:rsidR="009455BE">
                        <w:rPr>
                          <w:rFonts w:ascii="Times New Roman" w:hAnsi="Times New Roman" w:cs="Times New Roman"/>
                          <w:sz w:val="20"/>
                          <w:szCs w:val="20"/>
                        </w:rPr>
                        <w:t xml:space="preserve"> </w:t>
                      </w:r>
                    </w:p>
                    <w:p w:rsidR="00082880" w:rsidRPr="007820DB" w:rsidRDefault="00082880" w:rsidP="005052B1">
                      <w:pPr>
                        <w:spacing w:after="0"/>
                        <w:rPr>
                          <w:rFonts w:ascii="Times New Roman" w:hAnsi="Times New Roman" w:cs="Times New Roman"/>
                          <w:b/>
                          <w:sz w:val="20"/>
                          <w:szCs w:val="20"/>
                        </w:rPr>
                      </w:pP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FF663F">
                        <w:rPr>
                          <w:rFonts w:ascii="Times New Roman" w:hAnsi="Times New Roman" w:cs="Times New Roman"/>
                          <w:b/>
                          <w:sz w:val="20"/>
                          <w:szCs w:val="20"/>
                        </w:rPr>
                        <w:t>s</w:t>
                      </w:r>
                      <w:r w:rsidRPr="007820DB">
                        <w:rPr>
                          <w:rFonts w:ascii="Times New Roman" w:hAnsi="Times New Roman" w:cs="Times New Roman"/>
                          <w:b/>
                          <w:sz w:val="20"/>
                          <w:szCs w:val="20"/>
                        </w:rPr>
                        <w:t xml:space="preserve">: </w:t>
                      </w:r>
                    </w:p>
                    <w:p w:rsidR="005052B1" w:rsidRPr="007820DB" w:rsidRDefault="00082880" w:rsidP="00082880">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5F05C2">
                        <w:rPr>
                          <w:rFonts w:ascii="Times New Roman" w:hAnsi="Times New Roman" w:cs="Times New Roman"/>
                          <w:sz w:val="20"/>
                          <w:szCs w:val="20"/>
                        </w:rPr>
                        <w:t>Tyler Miles and Packer Wilkes, representing owner</w:t>
                      </w:r>
                      <w:r w:rsidR="00C33550">
                        <w:rPr>
                          <w:rFonts w:ascii="Times New Roman" w:hAnsi="Times New Roman" w:cs="Times New Roman"/>
                          <w:sz w:val="20"/>
                          <w:szCs w:val="20"/>
                        </w:rPr>
                        <w:t>s</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rsidR="00062D9C" w:rsidRPr="007820DB" w:rsidRDefault="00082880" w:rsidP="009455BE">
                      <w:pPr>
                        <w:spacing w:after="120"/>
                        <w:ind w:left="180" w:hanging="180"/>
                        <w:rPr>
                          <w:rFonts w:ascii="Times New Roman" w:hAnsi="Times New Roman" w:cs="Times New Roman"/>
                          <w:sz w:val="20"/>
                          <w:szCs w:val="20"/>
                        </w:rPr>
                      </w:pPr>
                      <w:r w:rsidRPr="007820DB">
                        <w:rPr>
                          <w:rFonts w:ascii="Times New Roman" w:hAnsi="Times New Roman" w:cs="Times New Roman"/>
                          <w:sz w:val="20"/>
                          <w:szCs w:val="20"/>
                        </w:rPr>
                        <w:tab/>
                      </w:r>
                      <w:r w:rsidR="00494176">
                        <w:rPr>
                          <w:rFonts w:ascii="Times New Roman" w:hAnsi="Times New Roman" w:cs="Times New Roman"/>
                          <w:sz w:val="20"/>
                          <w:szCs w:val="20"/>
                        </w:rPr>
                        <w:t>South Haven Farms</w:t>
                      </w:r>
                      <w:r w:rsidR="00E2504B">
                        <w:rPr>
                          <w:rFonts w:ascii="Times New Roman" w:hAnsi="Times New Roman" w:cs="Times New Roman"/>
                          <w:sz w:val="20"/>
                          <w:szCs w:val="20"/>
                        </w:rPr>
                        <w:t xml:space="preserve"> </w:t>
                      </w:r>
                      <w:r w:rsidR="00494176">
                        <w:rPr>
                          <w:rFonts w:ascii="Times New Roman" w:hAnsi="Times New Roman" w:cs="Times New Roman"/>
                          <w:sz w:val="20"/>
                          <w:szCs w:val="20"/>
                        </w:rPr>
                        <w:t>L</w:t>
                      </w:r>
                      <w:r w:rsidR="005B2545">
                        <w:rPr>
                          <w:rFonts w:ascii="Times New Roman" w:hAnsi="Times New Roman" w:cs="Times New Roman"/>
                          <w:sz w:val="20"/>
                          <w:szCs w:val="20"/>
                        </w:rPr>
                        <w:t>C</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rsidR="005052B1" w:rsidRPr="007820DB" w:rsidRDefault="00494176"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ab/>
                      </w:r>
                      <w:r w:rsidR="005F05C2">
                        <w:rPr>
                          <w:rFonts w:ascii="Times New Roman" w:hAnsi="Times New Roman" w:cs="Times New Roman"/>
                          <w:sz w:val="20"/>
                          <w:szCs w:val="20"/>
                        </w:rPr>
                        <w:t>West side of 1400 East between 50 South and 100 South</w:t>
                      </w:r>
                      <w:r>
                        <w:rPr>
                          <w:rFonts w:ascii="Times New Roman" w:hAnsi="Times New Roman" w:cs="Times New Roman"/>
                          <w:sz w:val="20"/>
                          <w:szCs w:val="20"/>
                        </w:rPr>
                        <w:t xml:space="preserve"> </w:t>
                      </w:r>
                    </w:p>
                    <w:p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Zone: </w:t>
                      </w:r>
                    </w:p>
                    <w:p w:rsidR="005052B1" w:rsidRPr="007820DB" w:rsidRDefault="005F05C2"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ab/>
                        <w:t>RMF-15</w:t>
                      </w:r>
                      <w:r w:rsidR="00494176">
                        <w:rPr>
                          <w:rFonts w:ascii="Times New Roman" w:hAnsi="Times New Roman" w:cs="Times New Roman"/>
                          <w:sz w:val="20"/>
                          <w:szCs w:val="20"/>
                        </w:rPr>
                        <w:t>, Multi-Family Residential</w:t>
                      </w:r>
                    </w:p>
                    <w:p w:rsidR="00E61C82" w:rsidRPr="007820DB" w:rsidRDefault="00E61C82" w:rsidP="005052B1">
                      <w:pPr>
                        <w:spacing w:after="0"/>
                        <w:rPr>
                          <w:rFonts w:ascii="Times New Roman" w:hAnsi="Times New Roman" w:cs="Times New Roman"/>
                          <w:sz w:val="20"/>
                          <w:szCs w:val="20"/>
                        </w:rPr>
                      </w:pPr>
                    </w:p>
                    <w:p w:rsidR="003C6E21" w:rsidRPr="005F05C2" w:rsidRDefault="003C6E21" w:rsidP="005F05C2">
                      <w:pPr>
                        <w:tabs>
                          <w:tab w:val="left" w:pos="540"/>
                        </w:tabs>
                        <w:spacing w:after="0"/>
                        <w:rPr>
                          <w:rFonts w:ascii="Times New Roman" w:hAnsi="Times New Roman" w:cs="Times New Roman"/>
                          <w:sz w:val="20"/>
                          <w:szCs w:val="20"/>
                        </w:rPr>
                      </w:pPr>
                    </w:p>
                  </w:txbxContent>
                </v:textbox>
              </v:shape>
            </w:pict>
          </mc:Fallback>
        </mc:AlternateContent>
      </w:r>
    </w:p>
    <w:p w:rsidR="009E1C38" w:rsidRDefault="009E1C38">
      <w:pPr>
        <w:rPr>
          <w:rFonts w:ascii="Times New Roman" w:hAnsi="Times New Roman" w:cs="Times New Roman"/>
          <w:b/>
          <w:sz w:val="24"/>
        </w:rPr>
      </w:pPr>
      <w:r>
        <w:rPr>
          <w:rFonts w:ascii="Times New Roman" w:hAnsi="Times New Roman" w:cs="Times New Roman"/>
          <w:b/>
          <w:sz w:val="24"/>
        </w:rPr>
        <w:br w:type="page"/>
      </w:r>
    </w:p>
    <w:p w:rsidR="00F32822" w:rsidRDefault="00B9578B" w:rsidP="00494176">
      <w:pPr>
        <w:spacing w:after="0"/>
        <w:jc w:val="both"/>
        <w:rPr>
          <w:rFonts w:ascii="Times New Roman" w:hAnsi="Times New Roman" w:cs="Times New Roman"/>
          <w:sz w:val="20"/>
          <w:szCs w:val="24"/>
        </w:rPr>
      </w:pPr>
      <w:proofErr w:type="gramStart"/>
      <w:r>
        <w:rPr>
          <w:rFonts w:ascii="Times New Roman" w:hAnsi="Times New Roman" w:cs="Times New Roman"/>
          <w:sz w:val="20"/>
          <w:szCs w:val="24"/>
        </w:rPr>
        <w:lastRenderedPageBreak/>
        <w:t>and</w:t>
      </w:r>
      <w:proofErr w:type="gramEnd"/>
      <w:r>
        <w:rPr>
          <w:rFonts w:ascii="Times New Roman" w:hAnsi="Times New Roman" w:cs="Times New Roman"/>
          <w:sz w:val="20"/>
          <w:szCs w:val="24"/>
        </w:rPr>
        <w:t xml:space="preserve"> the </w:t>
      </w:r>
      <w:r w:rsidR="00F32822">
        <w:rPr>
          <w:rFonts w:ascii="Times New Roman" w:hAnsi="Times New Roman" w:cs="Times New Roman"/>
          <w:sz w:val="20"/>
          <w:szCs w:val="24"/>
        </w:rPr>
        <w:t>commission and council will need to determine whether the proposed amenities will be enough.</w:t>
      </w:r>
    </w:p>
    <w:p w:rsidR="00F32822" w:rsidRDefault="00F32822" w:rsidP="00494176">
      <w:pPr>
        <w:spacing w:after="0"/>
        <w:jc w:val="both"/>
        <w:rPr>
          <w:rFonts w:ascii="Times New Roman" w:hAnsi="Times New Roman" w:cs="Times New Roman"/>
          <w:sz w:val="20"/>
          <w:szCs w:val="24"/>
        </w:rPr>
      </w:pPr>
    </w:p>
    <w:p w:rsidR="00357831" w:rsidRDefault="00F32822" w:rsidP="00494176">
      <w:pPr>
        <w:spacing w:after="0"/>
        <w:jc w:val="both"/>
        <w:rPr>
          <w:rFonts w:ascii="Times New Roman" w:hAnsi="Times New Roman" w:cs="Times New Roman"/>
          <w:sz w:val="20"/>
          <w:szCs w:val="24"/>
        </w:rPr>
      </w:pPr>
      <w:r>
        <w:rPr>
          <w:rFonts w:ascii="Times New Roman" w:hAnsi="Times New Roman" w:cs="Times New Roman"/>
          <w:sz w:val="20"/>
          <w:szCs w:val="24"/>
        </w:rPr>
        <w:t>The two-lot subdivision and the townhome proposal would normally be considered administrative approvals. However, since the applicants are requesting approval of private roads (legislative), all three requests hinge upon the approval of private roads as outlined. Because of this, all three decisions are essentially legislative and the commission and council are not obligated to r</w:t>
      </w:r>
      <w:r w:rsidR="001A1A41">
        <w:rPr>
          <w:rFonts w:ascii="Times New Roman" w:hAnsi="Times New Roman" w:cs="Times New Roman"/>
          <w:sz w:val="20"/>
          <w:szCs w:val="24"/>
        </w:rPr>
        <w:t>ecommend approval if they determine that these proposals are not consistent with the land use goals of this area or Payson City as a whole</w:t>
      </w:r>
      <w:r>
        <w:rPr>
          <w:rFonts w:ascii="Times New Roman" w:hAnsi="Times New Roman" w:cs="Times New Roman"/>
          <w:sz w:val="20"/>
          <w:szCs w:val="24"/>
        </w:rPr>
        <w:t>.</w:t>
      </w:r>
    </w:p>
    <w:p w:rsidR="00517059" w:rsidRDefault="00517059" w:rsidP="00494176">
      <w:pPr>
        <w:spacing w:after="0"/>
        <w:jc w:val="both"/>
        <w:rPr>
          <w:rFonts w:ascii="Times New Roman" w:hAnsi="Times New Roman" w:cs="Times New Roman"/>
          <w:sz w:val="20"/>
          <w:szCs w:val="24"/>
        </w:rPr>
      </w:pPr>
    </w:p>
    <w:p w:rsidR="009A4E6E" w:rsidRDefault="00667329" w:rsidP="00494176">
      <w:pPr>
        <w:spacing w:after="0"/>
        <w:jc w:val="both"/>
        <w:rPr>
          <w:rFonts w:ascii="Times New Roman" w:hAnsi="Times New Roman" w:cs="Times New Roman"/>
          <w:sz w:val="20"/>
          <w:szCs w:val="24"/>
        </w:rPr>
      </w:pPr>
      <w:r>
        <w:rPr>
          <w:rFonts w:ascii="Times New Roman" w:hAnsi="Times New Roman" w:cs="Times New Roman"/>
          <w:sz w:val="20"/>
          <w:szCs w:val="24"/>
        </w:rPr>
        <w:t>VALO</w:t>
      </w:r>
      <w:r w:rsidR="009A4E6E">
        <w:rPr>
          <w:rFonts w:ascii="Times New Roman" w:hAnsi="Times New Roman" w:cs="Times New Roman"/>
          <w:sz w:val="20"/>
          <w:szCs w:val="24"/>
        </w:rPr>
        <w:t xml:space="preserve"> at South Haven Farms</w:t>
      </w:r>
      <w:r>
        <w:rPr>
          <w:rFonts w:ascii="Times New Roman" w:hAnsi="Times New Roman" w:cs="Times New Roman"/>
          <w:sz w:val="20"/>
          <w:szCs w:val="24"/>
        </w:rPr>
        <w:t xml:space="preserve"> is located on Lot 4</w:t>
      </w:r>
      <w:r w:rsidR="00517059">
        <w:rPr>
          <w:rFonts w:ascii="Times New Roman" w:hAnsi="Times New Roman" w:cs="Times New Roman"/>
          <w:sz w:val="20"/>
          <w:szCs w:val="24"/>
        </w:rPr>
        <w:t xml:space="preserve"> of the South Haven Farms Subdivision</w:t>
      </w:r>
      <w:r>
        <w:rPr>
          <w:rFonts w:ascii="Times New Roman" w:hAnsi="Times New Roman" w:cs="Times New Roman"/>
          <w:sz w:val="20"/>
          <w:szCs w:val="24"/>
        </w:rPr>
        <w:t xml:space="preserve"> Plat A (i.e., the southwest quadrant of the development)</w:t>
      </w:r>
      <w:r w:rsidR="00517059">
        <w:rPr>
          <w:rFonts w:ascii="Times New Roman" w:hAnsi="Times New Roman" w:cs="Times New Roman"/>
          <w:sz w:val="20"/>
          <w:szCs w:val="24"/>
        </w:rPr>
        <w:t xml:space="preserve">. The proposed development consists of </w:t>
      </w:r>
      <w:r>
        <w:rPr>
          <w:rFonts w:ascii="Times New Roman" w:hAnsi="Times New Roman" w:cs="Times New Roman"/>
          <w:sz w:val="20"/>
          <w:szCs w:val="24"/>
        </w:rPr>
        <w:t>101 total residential units and an amenity parcel that will include a clubhouse</w:t>
      </w:r>
      <w:r w:rsidR="00517059">
        <w:rPr>
          <w:rFonts w:ascii="Times New Roman" w:hAnsi="Times New Roman" w:cs="Times New Roman"/>
          <w:sz w:val="20"/>
          <w:szCs w:val="24"/>
        </w:rPr>
        <w:t>.</w:t>
      </w:r>
      <w:r w:rsidR="00254764">
        <w:rPr>
          <w:rFonts w:ascii="Times New Roman" w:hAnsi="Times New Roman" w:cs="Times New Roman"/>
          <w:sz w:val="20"/>
          <w:szCs w:val="24"/>
        </w:rPr>
        <w:t xml:space="preserve"> </w:t>
      </w:r>
      <w:r w:rsidR="009F6A69">
        <w:rPr>
          <w:rFonts w:ascii="Times New Roman" w:hAnsi="Times New Roman" w:cs="Times New Roman"/>
          <w:sz w:val="20"/>
          <w:szCs w:val="24"/>
        </w:rPr>
        <w:t xml:space="preserve">These units will all be rental units that are owned and maintained by a single entity. </w:t>
      </w:r>
      <w:bookmarkStart w:id="0" w:name="_GoBack"/>
      <w:bookmarkEnd w:id="0"/>
      <w:r w:rsidR="00254764">
        <w:rPr>
          <w:rFonts w:ascii="Times New Roman" w:hAnsi="Times New Roman" w:cs="Times New Roman"/>
          <w:sz w:val="20"/>
          <w:szCs w:val="24"/>
        </w:rPr>
        <w:t>Development of the property must be consistent with the Payson City Code and the requirements of the annexation agreement. Furthermore, a development agreement</w:t>
      </w:r>
      <w:r>
        <w:rPr>
          <w:rFonts w:ascii="Times New Roman" w:hAnsi="Times New Roman" w:cs="Times New Roman"/>
          <w:sz w:val="20"/>
          <w:szCs w:val="24"/>
        </w:rPr>
        <w:t xml:space="preserve"> will be prepared</w:t>
      </w:r>
      <w:r w:rsidR="00254764">
        <w:rPr>
          <w:rFonts w:ascii="Times New Roman" w:hAnsi="Times New Roman" w:cs="Times New Roman"/>
          <w:sz w:val="20"/>
          <w:szCs w:val="24"/>
        </w:rPr>
        <w:t xml:space="preserve"> for review and approval by the city council.</w:t>
      </w:r>
      <w:r w:rsidR="00091E22">
        <w:rPr>
          <w:rFonts w:ascii="Times New Roman" w:hAnsi="Times New Roman" w:cs="Times New Roman"/>
          <w:sz w:val="20"/>
          <w:szCs w:val="24"/>
        </w:rPr>
        <w:t xml:space="preserve"> The development agreement will need to address the amenity parcel’s relationship to the residential parcels both currently and in the future. </w:t>
      </w:r>
    </w:p>
    <w:p w:rsidR="009A4E6E" w:rsidRDefault="009A4E6E" w:rsidP="00494176">
      <w:pPr>
        <w:spacing w:after="0"/>
        <w:jc w:val="both"/>
        <w:rPr>
          <w:rFonts w:ascii="Times New Roman" w:hAnsi="Times New Roman" w:cs="Times New Roman"/>
          <w:sz w:val="20"/>
          <w:szCs w:val="24"/>
        </w:rPr>
      </w:pPr>
    </w:p>
    <w:p w:rsidR="000C3A8C" w:rsidRPr="00F43C3A" w:rsidRDefault="000C3A8C" w:rsidP="000C3A8C">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rsidR="00415240" w:rsidRDefault="00FF4D68" w:rsidP="00415240">
      <w:pPr>
        <w:spacing w:after="0"/>
        <w:jc w:val="both"/>
        <w:rPr>
          <w:rFonts w:ascii="Times New Roman" w:hAnsi="Times New Roman" w:cs="Times New Roman"/>
          <w:sz w:val="20"/>
          <w:szCs w:val="20"/>
        </w:rPr>
      </w:pPr>
      <w:r>
        <w:rPr>
          <w:rFonts w:ascii="Times New Roman" w:hAnsi="Times New Roman" w:cs="Times New Roman"/>
          <w:sz w:val="20"/>
          <w:szCs w:val="20"/>
        </w:rPr>
        <w:t xml:space="preserve">To develop the property as proposed, the applicant will need to obtain </w:t>
      </w:r>
      <w:r w:rsidR="000A6090">
        <w:rPr>
          <w:rFonts w:ascii="Times New Roman" w:hAnsi="Times New Roman" w:cs="Times New Roman"/>
          <w:sz w:val="20"/>
          <w:szCs w:val="20"/>
        </w:rPr>
        <w:t xml:space="preserve">legislative and administrative </w:t>
      </w:r>
      <w:r>
        <w:rPr>
          <w:rFonts w:ascii="Times New Roman" w:hAnsi="Times New Roman" w:cs="Times New Roman"/>
          <w:sz w:val="20"/>
          <w:szCs w:val="20"/>
        </w:rPr>
        <w:t>approvals</w:t>
      </w:r>
      <w:r w:rsidR="000A6090">
        <w:rPr>
          <w:rFonts w:ascii="Times New Roman" w:hAnsi="Times New Roman" w:cs="Times New Roman"/>
          <w:sz w:val="20"/>
          <w:szCs w:val="20"/>
        </w:rPr>
        <w:t xml:space="preserve">. </w:t>
      </w:r>
      <w:r w:rsidR="00D6632A">
        <w:rPr>
          <w:rFonts w:ascii="Times New Roman" w:hAnsi="Times New Roman" w:cs="Times New Roman"/>
          <w:sz w:val="20"/>
          <w:szCs w:val="20"/>
        </w:rPr>
        <w:t xml:space="preserve">These approvals are listed below. </w:t>
      </w:r>
      <w:r w:rsidR="00415240">
        <w:rPr>
          <w:rFonts w:ascii="Times New Roman" w:hAnsi="Times New Roman" w:cs="Times New Roman"/>
          <w:sz w:val="20"/>
          <w:szCs w:val="20"/>
        </w:rPr>
        <w:t xml:space="preserve">The planning commission and city council will need to determine if the requests are </w:t>
      </w:r>
      <w:r w:rsidR="00332F4E">
        <w:rPr>
          <w:rFonts w:ascii="Times New Roman" w:hAnsi="Times New Roman" w:cs="Times New Roman"/>
          <w:sz w:val="20"/>
          <w:szCs w:val="20"/>
        </w:rPr>
        <w:t>consistent with the Payson City Code a</w:t>
      </w:r>
      <w:r w:rsidR="00415240">
        <w:rPr>
          <w:rFonts w:ascii="Times New Roman" w:hAnsi="Times New Roman" w:cs="Times New Roman"/>
          <w:sz w:val="20"/>
          <w:szCs w:val="20"/>
        </w:rPr>
        <w:t xml:space="preserve">nd will further the land use goals of </w:t>
      </w:r>
      <w:r w:rsidR="00332F4E">
        <w:rPr>
          <w:rFonts w:ascii="Times New Roman" w:hAnsi="Times New Roman" w:cs="Times New Roman"/>
          <w:sz w:val="20"/>
          <w:szCs w:val="20"/>
        </w:rPr>
        <w:t xml:space="preserve">the city. </w:t>
      </w:r>
    </w:p>
    <w:p w:rsidR="00D6632A" w:rsidRDefault="00D6632A" w:rsidP="008106BA">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Preliminary and Final Development Plan (administrative)</w:t>
      </w:r>
    </w:p>
    <w:p w:rsidR="00C609E4" w:rsidRDefault="00C609E4" w:rsidP="008106BA">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Preliminary and Final Plat (administrative)</w:t>
      </w:r>
    </w:p>
    <w:p w:rsidR="00D6632A" w:rsidRDefault="00C609E4" w:rsidP="008106BA">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Waiver of public road requirement</w:t>
      </w:r>
      <w:r w:rsidR="00D6632A">
        <w:rPr>
          <w:rFonts w:ascii="Times New Roman" w:hAnsi="Times New Roman" w:cs="Times New Roman"/>
          <w:sz w:val="20"/>
          <w:szCs w:val="20"/>
        </w:rPr>
        <w:t xml:space="preserve"> </w:t>
      </w:r>
      <w:r w:rsidR="009945B4">
        <w:rPr>
          <w:rFonts w:ascii="Times New Roman" w:hAnsi="Times New Roman" w:cs="Times New Roman"/>
          <w:sz w:val="20"/>
          <w:szCs w:val="20"/>
        </w:rPr>
        <w:t xml:space="preserve">and approval of private road layout and cross-section </w:t>
      </w:r>
      <w:r w:rsidR="00D6632A">
        <w:rPr>
          <w:rFonts w:ascii="Times New Roman" w:hAnsi="Times New Roman" w:cs="Times New Roman"/>
          <w:sz w:val="20"/>
          <w:szCs w:val="20"/>
        </w:rPr>
        <w:t>(legislative)</w:t>
      </w:r>
    </w:p>
    <w:p w:rsidR="00D6632A" w:rsidRDefault="00D6632A" w:rsidP="008106BA">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Housing product (administrative)</w:t>
      </w:r>
    </w:p>
    <w:p w:rsidR="00E9063D" w:rsidRPr="00D6632A" w:rsidRDefault="00D6632A" w:rsidP="00D6632A">
      <w:pPr>
        <w:pStyle w:val="ListParagraph"/>
        <w:numPr>
          <w:ilvl w:val="0"/>
          <w:numId w:val="18"/>
        </w:numPr>
        <w:spacing w:after="0"/>
        <w:jc w:val="both"/>
        <w:rPr>
          <w:rFonts w:ascii="Times New Roman" w:hAnsi="Times New Roman" w:cs="Times New Roman"/>
          <w:sz w:val="20"/>
          <w:szCs w:val="20"/>
        </w:rPr>
      </w:pPr>
      <w:r>
        <w:rPr>
          <w:rFonts w:ascii="Times New Roman" w:hAnsi="Times New Roman" w:cs="Times New Roman"/>
          <w:sz w:val="20"/>
          <w:szCs w:val="20"/>
        </w:rPr>
        <w:t>Amenity package (administrative)</w:t>
      </w:r>
    </w:p>
    <w:p w:rsidR="00FF4D68" w:rsidRDefault="00FF4D68" w:rsidP="001D52E0">
      <w:pPr>
        <w:spacing w:after="0"/>
        <w:jc w:val="both"/>
        <w:rPr>
          <w:rFonts w:ascii="Times New Roman" w:hAnsi="Times New Roman" w:cs="Times New Roman"/>
          <w:sz w:val="20"/>
          <w:szCs w:val="20"/>
        </w:rPr>
      </w:pPr>
    </w:p>
    <w:p w:rsidR="00BA0305" w:rsidRDefault="00D6632A" w:rsidP="001D52E0">
      <w:pPr>
        <w:spacing w:after="0"/>
        <w:jc w:val="both"/>
        <w:rPr>
          <w:rFonts w:ascii="Times New Roman" w:hAnsi="Times New Roman" w:cs="Times New Roman"/>
          <w:sz w:val="20"/>
          <w:szCs w:val="20"/>
        </w:rPr>
      </w:pPr>
      <w:r>
        <w:rPr>
          <w:rFonts w:ascii="Times New Roman" w:hAnsi="Times New Roman" w:cs="Times New Roman"/>
          <w:sz w:val="20"/>
          <w:szCs w:val="20"/>
        </w:rPr>
        <w:t>Approval of the Preliminary</w:t>
      </w:r>
      <w:r w:rsidR="000F32D2">
        <w:rPr>
          <w:rFonts w:ascii="Times New Roman" w:hAnsi="Times New Roman" w:cs="Times New Roman"/>
          <w:sz w:val="20"/>
          <w:szCs w:val="20"/>
        </w:rPr>
        <w:t xml:space="preserve"> and Final </w:t>
      </w:r>
      <w:r>
        <w:rPr>
          <w:rFonts w:ascii="Times New Roman" w:hAnsi="Times New Roman" w:cs="Times New Roman"/>
          <w:sz w:val="20"/>
          <w:szCs w:val="20"/>
        </w:rPr>
        <w:t>Development Plan requires approval by the city council, following a recommendation by the planning commission.</w:t>
      </w:r>
      <w:r w:rsidR="00332F4E">
        <w:rPr>
          <w:rFonts w:ascii="Times New Roman" w:hAnsi="Times New Roman" w:cs="Times New Roman"/>
          <w:sz w:val="20"/>
          <w:szCs w:val="20"/>
        </w:rPr>
        <w:t xml:space="preserve"> </w:t>
      </w:r>
      <w:r w:rsidR="00F7007C">
        <w:rPr>
          <w:rFonts w:ascii="Times New Roman" w:hAnsi="Times New Roman" w:cs="Times New Roman"/>
          <w:sz w:val="20"/>
          <w:szCs w:val="20"/>
        </w:rPr>
        <w:t>Public comment and any pending DRC redlines should be included in the review process, and addressing staff redlines may be included as a condition of approval.</w:t>
      </w:r>
    </w:p>
    <w:p w:rsidR="00BA0305" w:rsidRDefault="00BA0305" w:rsidP="001D52E0">
      <w:pPr>
        <w:spacing w:after="0"/>
        <w:jc w:val="both"/>
        <w:rPr>
          <w:rFonts w:ascii="Times New Roman" w:hAnsi="Times New Roman" w:cs="Times New Roman"/>
          <w:sz w:val="20"/>
          <w:szCs w:val="20"/>
        </w:rPr>
      </w:pPr>
    </w:p>
    <w:p w:rsidR="0080049C" w:rsidRPr="00BE2DA9" w:rsidRDefault="0080049C" w:rsidP="001D52E0">
      <w:pPr>
        <w:spacing w:after="0"/>
        <w:jc w:val="both"/>
        <w:rPr>
          <w:rFonts w:ascii="Times New Roman" w:hAnsi="Times New Roman" w:cs="Times New Roman"/>
          <w:b/>
          <w:color w:val="2F5496" w:themeColor="accent5" w:themeShade="BF"/>
        </w:rPr>
      </w:pPr>
      <w:r w:rsidRPr="00BE2DA9">
        <w:rPr>
          <w:rFonts w:ascii="Times New Roman" w:hAnsi="Times New Roman" w:cs="Times New Roman"/>
          <w:b/>
          <w:color w:val="2F5496" w:themeColor="accent5" w:themeShade="BF"/>
        </w:rPr>
        <w:t>EVALUATION</w:t>
      </w:r>
    </w:p>
    <w:p w:rsidR="00EF1E12" w:rsidRDefault="00862859" w:rsidP="00415240">
      <w:pPr>
        <w:spacing w:after="0"/>
        <w:jc w:val="both"/>
        <w:rPr>
          <w:rFonts w:ascii="Times New Roman" w:hAnsi="Times New Roman" w:cs="Times New Roman"/>
          <w:sz w:val="20"/>
          <w:szCs w:val="24"/>
        </w:rPr>
      </w:pPr>
      <w:r>
        <w:rPr>
          <w:rFonts w:ascii="Times New Roman" w:hAnsi="Times New Roman" w:cs="Times New Roman"/>
          <w:sz w:val="20"/>
          <w:szCs w:val="24"/>
        </w:rPr>
        <w:t>City staff has completed a review of the proposed project for compliance with the applicable requirements of the Payson City Code</w:t>
      </w:r>
      <w:r w:rsidR="00043650">
        <w:rPr>
          <w:rFonts w:ascii="Times New Roman" w:hAnsi="Times New Roman" w:cs="Times New Roman"/>
          <w:sz w:val="20"/>
          <w:szCs w:val="24"/>
        </w:rPr>
        <w:t xml:space="preserve">. </w:t>
      </w:r>
      <w:r>
        <w:rPr>
          <w:rFonts w:ascii="Times New Roman" w:hAnsi="Times New Roman" w:cs="Times New Roman"/>
          <w:sz w:val="20"/>
          <w:szCs w:val="24"/>
        </w:rPr>
        <w:t>S</w:t>
      </w:r>
      <w:r w:rsidR="00F7007C">
        <w:rPr>
          <w:rFonts w:ascii="Times New Roman" w:hAnsi="Times New Roman" w:cs="Times New Roman"/>
          <w:sz w:val="20"/>
          <w:szCs w:val="24"/>
        </w:rPr>
        <w:t>taff have provided redlines throughout the process and have been working with the applicants to rectify those. The applicants will need to demonstrate that the proposed amenity package and p</w:t>
      </w:r>
      <w:r w:rsidR="00091E22">
        <w:rPr>
          <w:rFonts w:ascii="Times New Roman" w:hAnsi="Times New Roman" w:cs="Times New Roman"/>
          <w:sz w:val="20"/>
          <w:szCs w:val="24"/>
        </w:rPr>
        <w:t xml:space="preserve">roject layout </w:t>
      </w:r>
      <w:r w:rsidR="00F7007C">
        <w:rPr>
          <w:rFonts w:ascii="Times New Roman" w:hAnsi="Times New Roman" w:cs="Times New Roman"/>
          <w:sz w:val="20"/>
          <w:szCs w:val="24"/>
        </w:rPr>
        <w:t>meet Payson City Code and the goals outlined in the General Plan.</w:t>
      </w:r>
    </w:p>
    <w:p w:rsidR="00F7007C" w:rsidRDefault="00F7007C" w:rsidP="00415240">
      <w:pPr>
        <w:spacing w:after="0"/>
        <w:jc w:val="both"/>
        <w:rPr>
          <w:rFonts w:ascii="Times New Roman" w:hAnsi="Times New Roman" w:cs="Times New Roman"/>
          <w:sz w:val="20"/>
          <w:szCs w:val="24"/>
        </w:rPr>
      </w:pPr>
    </w:p>
    <w:p w:rsidR="00043650" w:rsidRDefault="00043650" w:rsidP="00415240">
      <w:pPr>
        <w:spacing w:after="0"/>
        <w:jc w:val="both"/>
        <w:rPr>
          <w:rFonts w:ascii="Times New Roman" w:hAnsi="Times New Roman" w:cs="Times New Roman"/>
          <w:b/>
          <w:sz w:val="20"/>
          <w:szCs w:val="24"/>
        </w:rPr>
      </w:pPr>
      <w:r>
        <w:rPr>
          <w:rFonts w:ascii="Times New Roman" w:hAnsi="Times New Roman" w:cs="Times New Roman"/>
          <w:b/>
          <w:sz w:val="20"/>
          <w:szCs w:val="24"/>
        </w:rPr>
        <w:t>General Plan</w:t>
      </w:r>
    </w:p>
    <w:p w:rsidR="00043650" w:rsidRDefault="00043650" w:rsidP="00415240">
      <w:pPr>
        <w:spacing w:after="0"/>
        <w:jc w:val="both"/>
        <w:rPr>
          <w:rFonts w:ascii="Times New Roman" w:hAnsi="Times New Roman" w:cs="Times New Roman"/>
          <w:sz w:val="20"/>
          <w:szCs w:val="24"/>
        </w:rPr>
      </w:pPr>
      <w:r>
        <w:rPr>
          <w:rFonts w:ascii="Times New Roman" w:hAnsi="Times New Roman" w:cs="Times New Roman"/>
          <w:sz w:val="20"/>
          <w:szCs w:val="24"/>
        </w:rPr>
        <w:t>The proposed development is consistent with the</w:t>
      </w:r>
      <w:r w:rsidR="00AE5692">
        <w:rPr>
          <w:rFonts w:ascii="Times New Roman" w:hAnsi="Times New Roman" w:cs="Times New Roman"/>
          <w:sz w:val="20"/>
          <w:szCs w:val="24"/>
        </w:rPr>
        <w:t xml:space="preserve"> land uses outlined for this area in the</w:t>
      </w:r>
      <w:r>
        <w:rPr>
          <w:rFonts w:ascii="Times New Roman" w:hAnsi="Times New Roman" w:cs="Times New Roman"/>
          <w:sz w:val="20"/>
          <w:szCs w:val="24"/>
        </w:rPr>
        <w:t xml:space="preserve"> </w:t>
      </w:r>
      <w:r w:rsidRPr="00043650">
        <w:rPr>
          <w:rFonts w:ascii="Times New Roman" w:hAnsi="Times New Roman" w:cs="Times New Roman"/>
          <w:sz w:val="20"/>
          <w:szCs w:val="24"/>
        </w:rPr>
        <w:t>Payson City</w:t>
      </w:r>
      <w:r>
        <w:rPr>
          <w:rFonts w:ascii="Times New Roman" w:hAnsi="Times New Roman" w:cs="Times New Roman"/>
          <w:sz w:val="20"/>
          <w:szCs w:val="24"/>
        </w:rPr>
        <w:t xml:space="preserve"> General Plan.</w:t>
      </w:r>
      <w:r w:rsidR="00F7007C">
        <w:rPr>
          <w:rFonts w:ascii="Times New Roman" w:hAnsi="Times New Roman" w:cs="Times New Roman"/>
          <w:sz w:val="20"/>
          <w:szCs w:val="24"/>
        </w:rPr>
        <w:t xml:space="preserve"> At a closer level of detail, the proposed changes do not conflict with the </w:t>
      </w:r>
      <w:proofErr w:type="spellStart"/>
      <w:r w:rsidR="00F7007C">
        <w:rPr>
          <w:rFonts w:ascii="Times New Roman" w:hAnsi="Times New Roman" w:cs="Times New Roman"/>
          <w:sz w:val="20"/>
          <w:szCs w:val="24"/>
        </w:rPr>
        <w:t>Holdaway</w:t>
      </w:r>
      <w:proofErr w:type="spellEnd"/>
      <w:r w:rsidR="00F7007C">
        <w:rPr>
          <w:rFonts w:ascii="Times New Roman" w:hAnsi="Times New Roman" w:cs="Times New Roman"/>
          <w:sz w:val="20"/>
          <w:szCs w:val="24"/>
        </w:rPr>
        <w:t>-Pleasant Flats Annexation Agreement or the RMF-15 zoning designation applied to this parcel.</w:t>
      </w:r>
    </w:p>
    <w:p w:rsidR="00043650" w:rsidRDefault="00043650" w:rsidP="00415240">
      <w:pPr>
        <w:spacing w:after="0"/>
        <w:jc w:val="both"/>
        <w:rPr>
          <w:rFonts w:ascii="Times New Roman" w:hAnsi="Times New Roman" w:cs="Times New Roman"/>
          <w:sz w:val="20"/>
          <w:szCs w:val="24"/>
        </w:rPr>
      </w:pPr>
    </w:p>
    <w:p w:rsidR="00EF1E12" w:rsidRDefault="00043650" w:rsidP="00415240">
      <w:pPr>
        <w:spacing w:after="0"/>
        <w:jc w:val="both"/>
        <w:rPr>
          <w:rFonts w:ascii="Times New Roman" w:hAnsi="Times New Roman" w:cs="Times New Roman"/>
          <w:b/>
          <w:sz w:val="20"/>
          <w:szCs w:val="24"/>
        </w:rPr>
      </w:pPr>
      <w:r>
        <w:rPr>
          <w:rFonts w:ascii="Times New Roman" w:hAnsi="Times New Roman" w:cs="Times New Roman"/>
          <w:b/>
          <w:sz w:val="20"/>
          <w:szCs w:val="24"/>
        </w:rPr>
        <w:t>Standard of Review</w:t>
      </w:r>
    </w:p>
    <w:p w:rsidR="00043650" w:rsidRDefault="00043650" w:rsidP="00043650">
      <w:pPr>
        <w:pStyle w:val="BodyText"/>
        <w:tabs>
          <w:tab w:val="left" w:pos="840"/>
        </w:tabs>
        <w:spacing w:line="245" w:lineRule="auto"/>
        <w:ind w:left="0"/>
        <w:jc w:val="both"/>
        <w:rPr>
          <w:spacing w:val="-1"/>
        </w:rPr>
      </w:pPr>
      <w:r>
        <w:t>A</w:t>
      </w:r>
      <w:r w:rsidRPr="00946AF7">
        <w:rPr>
          <w:spacing w:val="18"/>
        </w:rPr>
        <w:t xml:space="preserve"> </w:t>
      </w:r>
      <w:r w:rsidRPr="00946AF7">
        <w:rPr>
          <w:spacing w:val="-1"/>
        </w:rPr>
        <w:t>reques</w:t>
      </w:r>
      <w:r w:rsidR="00756802">
        <w:rPr>
          <w:spacing w:val="-1"/>
        </w:rPr>
        <w:t xml:space="preserve">t for development plan approval that satisfies the minimum </w:t>
      </w:r>
      <w:r w:rsidRPr="00946AF7">
        <w:rPr>
          <w:spacing w:val="-1"/>
        </w:rPr>
        <w:t>requirements</w:t>
      </w:r>
      <w:r w:rsidRPr="00946AF7">
        <w:rPr>
          <w:spacing w:val="13"/>
        </w:rPr>
        <w:t xml:space="preserve"> </w:t>
      </w:r>
      <w:r>
        <w:t>of</w:t>
      </w:r>
      <w:r w:rsidRPr="00946AF7">
        <w:rPr>
          <w:spacing w:val="14"/>
        </w:rPr>
        <w:t xml:space="preserve"> </w:t>
      </w:r>
      <w:r w:rsidRPr="00946AF7">
        <w:rPr>
          <w:spacing w:val="-1"/>
        </w:rPr>
        <w:t>the</w:t>
      </w:r>
      <w:r w:rsidRPr="00946AF7">
        <w:rPr>
          <w:spacing w:val="14"/>
        </w:rPr>
        <w:t xml:space="preserve"> </w:t>
      </w:r>
      <w:r w:rsidRPr="00946AF7">
        <w:rPr>
          <w:spacing w:val="-1"/>
        </w:rPr>
        <w:t>zone,</w:t>
      </w:r>
      <w:r w:rsidRPr="00946AF7">
        <w:rPr>
          <w:spacing w:val="15"/>
        </w:rPr>
        <w:t xml:space="preserve"> </w:t>
      </w:r>
      <w:r>
        <w:t>or</w:t>
      </w:r>
      <w:r w:rsidRPr="00946AF7">
        <w:rPr>
          <w:spacing w:val="16"/>
        </w:rPr>
        <w:t xml:space="preserve"> </w:t>
      </w:r>
      <w:r>
        <w:t>a</w:t>
      </w:r>
      <w:r w:rsidRPr="00946AF7">
        <w:rPr>
          <w:spacing w:val="14"/>
        </w:rPr>
        <w:t xml:space="preserve"> </w:t>
      </w:r>
      <w:r>
        <w:t>project</w:t>
      </w:r>
      <w:r w:rsidRPr="00946AF7">
        <w:rPr>
          <w:spacing w:val="15"/>
        </w:rPr>
        <w:t xml:space="preserve"> </w:t>
      </w:r>
      <w:r w:rsidRPr="00946AF7">
        <w:rPr>
          <w:spacing w:val="-1"/>
        </w:rPr>
        <w:t>that</w:t>
      </w:r>
      <w:r w:rsidRPr="00946AF7">
        <w:rPr>
          <w:spacing w:val="14"/>
        </w:rPr>
        <w:t xml:space="preserve"> </w:t>
      </w:r>
      <w:r w:rsidRPr="00946AF7">
        <w:rPr>
          <w:spacing w:val="-1"/>
        </w:rPr>
        <w:t>is</w:t>
      </w:r>
      <w:r w:rsidRPr="00946AF7">
        <w:rPr>
          <w:spacing w:val="12"/>
        </w:rPr>
        <w:t xml:space="preserve"> </w:t>
      </w:r>
      <w:r w:rsidRPr="00946AF7">
        <w:rPr>
          <w:spacing w:val="-1"/>
        </w:rPr>
        <w:t>consistent</w:t>
      </w:r>
      <w:r w:rsidRPr="00946AF7">
        <w:rPr>
          <w:spacing w:val="11"/>
        </w:rPr>
        <w:t xml:space="preserve"> </w:t>
      </w:r>
      <w:r w:rsidRPr="00946AF7">
        <w:rPr>
          <w:spacing w:val="-2"/>
        </w:rPr>
        <w:t>with</w:t>
      </w:r>
      <w:r w:rsidRPr="00946AF7">
        <w:rPr>
          <w:spacing w:val="11"/>
        </w:rPr>
        <w:t xml:space="preserve"> </w:t>
      </w:r>
      <w:r>
        <w:t>a</w:t>
      </w:r>
      <w:r w:rsidRPr="00946AF7">
        <w:rPr>
          <w:spacing w:val="13"/>
        </w:rPr>
        <w:t xml:space="preserve"> </w:t>
      </w:r>
      <w:r w:rsidRPr="00946AF7">
        <w:rPr>
          <w:spacing w:val="-1"/>
        </w:rPr>
        <w:t>previous</w:t>
      </w:r>
      <w:r w:rsidRPr="00946AF7">
        <w:rPr>
          <w:spacing w:val="11"/>
        </w:rPr>
        <w:t xml:space="preserve"> </w:t>
      </w:r>
      <w:r>
        <w:t>approval</w:t>
      </w:r>
      <w:r w:rsidR="00756802">
        <w:t xml:space="preserve"> </w:t>
      </w:r>
      <w:r w:rsidRPr="00946AF7">
        <w:rPr>
          <w:spacing w:val="-1"/>
        </w:rPr>
        <w:t>granted</w:t>
      </w:r>
      <w:r w:rsidRPr="00946AF7">
        <w:rPr>
          <w:spacing w:val="1"/>
        </w:rPr>
        <w:t xml:space="preserve"> </w:t>
      </w:r>
      <w:r>
        <w:t>by</w:t>
      </w:r>
      <w:r w:rsidRPr="00946AF7">
        <w:rPr>
          <w:spacing w:val="-3"/>
        </w:rPr>
        <w:t xml:space="preserve"> </w:t>
      </w:r>
      <w:r w:rsidRPr="00946AF7">
        <w:rPr>
          <w:spacing w:val="-1"/>
        </w:rPr>
        <w:t>the</w:t>
      </w:r>
      <w:r w:rsidRPr="00946AF7">
        <w:rPr>
          <w:spacing w:val="1"/>
        </w:rPr>
        <w:t xml:space="preserve"> </w:t>
      </w:r>
      <w:r w:rsidRPr="00946AF7">
        <w:rPr>
          <w:spacing w:val="-1"/>
        </w:rPr>
        <w:t>land</w:t>
      </w:r>
      <w:r w:rsidRPr="00946AF7">
        <w:rPr>
          <w:spacing w:val="1"/>
        </w:rPr>
        <w:t xml:space="preserve"> </w:t>
      </w:r>
      <w:r w:rsidRPr="00946AF7">
        <w:rPr>
          <w:spacing w:val="-1"/>
        </w:rPr>
        <w:t>use authority</w:t>
      </w:r>
      <w:r w:rsidRPr="00946AF7">
        <w:rPr>
          <w:spacing w:val="-5"/>
        </w:rPr>
        <w:t xml:space="preserve"> </w:t>
      </w:r>
      <w:r w:rsidR="00756802">
        <w:rPr>
          <w:spacing w:val="-5"/>
        </w:rPr>
        <w:t xml:space="preserve">(i.e. </w:t>
      </w:r>
      <w:r w:rsidR="00756802">
        <w:rPr>
          <w:spacing w:val="-1"/>
        </w:rPr>
        <w:t>zoning</w:t>
      </w:r>
      <w:r w:rsidRPr="00946AF7">
        <w:rPr>
          <w:spacing w:val="-1"/>
        </w:rPr>
        <w:t>), is</w:t>
      </w:r>
      <w:r w:rsidRPr="00946AF7">
        <w:rPr>
          <w:spacing w:val="-2"/>
        </w:rPr>
        <w:t xml:space="preserve"> </w:t>
      </w:r>
      <w:r>
        <w:t>an</w:t>
      </w:r>
      <w:r w:rsidRPr="00946AF7">
        <w:rPr>
          <w:spacing w:val="-3"/>
        </w:rPr>
        <w:t xml:space="preserve"> </w:t>
      </w:r>
      <w:r w:rsidRPr="00946AF7">
        <w:rPr>
          <w:b/>
          <w:spacing w:val="-1"/>
        </w:rPr>
        <w:t>administrative</w:t>
      </w:r>
      <w:r w:rsidRPr="00946AF7">
        <w:rPr>
          <w:b/>
          <w:spacing w:val="-2"/>
        </w:rPr>
        <w:t xml:space="preserve"> </w:t>
      </w:r>
      <w:r w:rsidRPr="00946AF7">
        <w:rPr>
          <w:b/>
        </w:rPr>
        <w:t>action</w:t>
      </w:r>
      <w:r w:rsidRPr="00946AF7">
        <w:rPr>
          <w:b/>
          <w:spacing w:val="-2"/>
        </w:rPr>
        <w:t xml:space="preserve"> </w:t>
      </w:r>
      <w:r w:rsidRPr="00946AF7">
        <w:rPr>
          <w:b/>
        </w:rPr>
        <w:t>(or</w:t>
      </w:r>
      <w:r w:rsidRPr="00946AF7">
        <w:rPr>
          <w:b/>
          <w:spacing w:val="-1"/>
        </w:rPr>
        <w:t xml:space="preserve"> ministerial)</w:t>
      </w:r>
      <w:r w:rsidRPr="00946AF7">
        <w:rPr>
          <w:spacing w:val="-1"/>
        </w:rPr>
        <w:t xml:space="preserve">. </w:t>
      </w:r>
      <w:r>
        <w:t>At this stage,</w:t>
      </w:r>
      <w:r w:rsidRPr="00946AF7">
        <w:rPr>
          <w:spacing w:val="28"/>
        </w:rPr>
        <w:t xml:space="preserve"> </w:t>
      </w:r>
      <w:r w:rsidRPr="00946AF7">
        <w:rPr>
          <w:spacing w:val="-1"/>
        </w:rPr>
        <w:t>t</w:t>
      </w:r>
      <w:r w:rsidR="00756802">
        <w:rPr>
          <w:spacing w:val="-1"/>
        </w:rPr>
        <w:t xml:space="preserve">he planning </w:t>
      </w:r>
      <w:r w:rsidR="00756802">
        <w:rPr>
          <w:spacing w:val="-2"/>
        </w:rPr>
        <w:t>co</w:t>
      </w:r>
      <w:r w:rsidRPr="00946AF7">
        <w:rPr>
          <w:spacing w:val="-2"/>
        </w:rPr>
        <w:t>mmission</w:t>
      </w:r>
      <w:r w:rsidRPr="00946AF7">
        <w:rPr>
          <w:spacing w:val="26"/>
        </w:rPr>
        <w:t xml:space="preserve"> </w:t>
      </w:r>
      <w:r w:rsidRPr="00946AF7">
        <w:rPr>
          <w:spacing w:val="-1"/>
        </w:rPr>
        <w:t>and</w:t>
      </w:r>
      <w:r w:rsidRPr="00946AF7">
        <w:rPr>
          <w:spacing w:val="26"/>
        </w:rPr>
        <w:t xml:space="preserve"> </w:t>
      </w:r>
      <w:r w:rsidR="00756802">
        <w:rPr>
          <w:spacing w:val="-1"/>
        </w:rPr>
        <w:t>city</w:t>
      </w:r>
      <w:r w:rsidR="00756802">
        <w:rPr>
          <w:spacing w:val="22"/>
        </w:rPr>
        <w:t xml:space="preserve"> </w:t>
      </w:r>
      <w:r w:rsidR="00756802">
        <w:rPr>
          <w:spacing w:val="-1"/>
        </w:rPr>
        <w:t>cou</w:t>
      </w:r>
      <w:r w:rsidRPr="00946AF7">
        <w:rPr>
          <w:spacing w:val="-1"/>
        </w:rPr>
        <w:t>ncil</w:t>
      </w:r>
      <w:r w:rsidRPr="00946AF7">
        <w:rPr>
          <w:spacing w:val="25"/>
        </w:rPr>
        <w:t xml:space="preserve"> </w:t>
      </w:r>
      <w:r w:rsidRPr="00946AF7">
        <w:rPr>
          <w:spacing w:val="-1"/>
        </w:rPr>
        <w:t>cannot</w:t>
      </w:r>
      <w:r w:rsidRPr="00946AF7">
        <w:rPr>
          <w:spacing w:val="25"/>
        </w:rPr>
        <w:t xml:space="preserve"> </w:t>
      </w:r>
      <w:r w:rsidRPr="00946AF7">
        <w:rPr>
          <w:spacing w:val="-1"/>
        </w:rPr>
        <w:t>change</w:t>
      </w:r>
      <w:r w:rsidRPr="00946AF7">
        <w:rPr>
          <w:spacing w:val="25"/>
        </w:rPr>
        <w:t xml:space="preserve"> </w:t>
      </w:r>
      <w:r w:rsidRPr="00946AF7">
        <w:rPr>
          <w:spacing w:val="-1"/>
        </w:rPr>
        <w:t>the</w:t>
      </w:r>
      <w:r w:rsidRPr="00946AF7">
        <w:rPr>
          <w:spacing w:val="25"/>
        </w:rPr>
        <w:t xml:space="preserve"> </w:t>
      </w:r>
      <w:r w:rsidRPr="00946AF7">
        <w:rPr>
          <w:spacing w:val="-1"/>
        </w:rPr>
        <w:t>rules</w:t>
      </w:r>
      <w:r>
        <w:t>. The</w:t>
      </w:r>
      <w:r w:rsidRPr="00946AF7">
        <w:rPr>
          <w:spacing w:val="-1"/>
        </w:rPr>
        <w:t xml:space="preserve"> </w:t>
      </w:r>
      <w:r w:rsidRPr="00946AF7">
        <w:rPr>
          <w:spacing w:val="-2"/>
        </w:rPr>
        <w:t>land</w:t>
      </w:r>
      <w:r w:rsidR="00756802">
        <w:rPr>
          <w:spacing w:val="-2"/>
        </w:rPr>
        <w:t xml:space="preserve"> </w:t>
      </w:r>
      <w:r w:rsidRPr="00946AF7">
        <w:rPr>
          <w:spacing w:val="-1"/>
        </w:rPr>
        <w:t>use</w:t>
      </w:r>
      <w:r w:rsidRPr="00946AF7">
        <w:rPr>
          <w:spacing w:val="5"/>
        </w:rPr>
        <w:t xml:space="preserve"> </w:t>
      </w:r>
      <w:r w:rsidRPr="00946AF7">
        <w:rPr>
          <w:spacing w:val="-1"/>
        </w:rPr>
        <w:t>authority</w:t>
      </w:r>
      <w:r w:rsidRPr="00946AF7">
        <w:rPr>
          <w:spacing w:val="2"/>
        </w:rPr>
        <w:t xml:space="preserve"> </w:t>
      </w:r>
      <w:r w:rsidRPr="00946AF7">
        <w:rPr>
          <w:spacing w:val="-1"/>
        </w:rPr>
        <w:t>is</w:t>
      </w:r>
      <w:r w:rsidRPr="00946AF7">
        <w:rPr>
          <w:spacing w:val="4"/>
        </w:rPr>
        <w:t xml:space="preserve"> </w:t>
      </w:r>
      <w:r w:rsidRPr="00946AF7">
        <w:rPr>
          <w:spacing w:val="-1"/>
        </w:rPr>
        <w:t>responsible</w:t>
      </w:r>
      <w:r w:rsidRPr="00946AF7">
        <w:rPr>
          <w:spacing w:val="6"/>
        </w:rPr>
        <w:t xml:space="preserve"> </w:t>
      </w:r>
      <w:r w:rsidRPr="00946AF7">
        <w:rPr>
          <w:spacing w:val="-1"/>
        </w:rPr>
        <w:t>to</w:t>
      </w:r>
      <w:r w:rsidRPr="00946AF7">
        <w:rPr>
          <w:spacing w:val="3"/>
        </w:rPr>
        <w:t xml:space="preserve"> </w:t>
      </w:r>
      <w:r w:rsidRPr="00946AF7">
        <w:rPr>
          <w:spacing w:val="-1"/>
        </w:rPr>
        <w:t>ensure</w:t>
      </w:r>
      <w:r w:rsidRPr="00946AF7">
        <w:rPr>
          <w:spacing w:val="3"/>
        </w:rPr>
        <w:t xml:space="preserve"> </w:t>
      </w:r>
      <w:r w:rsidRPr="00946AF7">
        <w:rPr>
          <w:spacing w:val="-1"/>
        </w:rPr>
        <w:t>the</w:t>
      </w:r>
      <w:r w:rsidRPr="00946AF7">
        <w:rPr>
          <w:spacing w:val="3"/>
        </w:rPr>
        <w:t xml:space="preserve"> </w:t>
      </w:r>
      <w:r>
        <w:t>project</w:t>
      </w:r>
      <w:r w:rsidRPr="00946AF7">
        <w:rPr>
          <w:spacing w:val="3"/>
        </w:rPr>
        <w:t xml:space="preserve"> </w:t>
      </w:r>
      <w:r w:rsidRPr="00946AF7">
        <w:rPr>
          <w:spacing w:val="-1"/>
        </w:rPr>
        <w:t>satisfies</w:t>
      </w:r>
      <w:r w:rsidRPr="00946AF7">
        <w:rPr>
          <w:spacing w:val="2"/>
        </w:rPr>
        <w:t xml:space="preserve"> </w:t>
      </w:r>
      <w:r w:rsidRPr="00946AF7">
        <w:rPr>
          <w:spacing w:val="-1"/>
        </w:rPr>
        <w:t>any previous</w:t>
      </w:r>
      <w:r w:rsidRPr="00946AF7">
        <w:rPr>
          <w:spacing w:val="1"/>
        </w:rPr>
        <w:t xml:space="preserve"> </w:t>
      </w:r>
      <w:r w:rsidRPr="00946AF7">
        <w:rPr>
          <w:spacing w:val="-1"/>
        </w:rPr>
        <w:t>approvals and all applicable ordinances. If</w:t>
      </w:r>
      <w:r w:rsidRPr="00946AF7">
        <w:rPr>
          <w:spacing w:val="-5"/>
        </w:rPr>
        <w:t xml:space="preserve"> </w:t>
      </w:r>
      <w:r w:rsidRPr="00946AF7">
        <w:rPr>
          <w:spacing w:val="-1"/>
        </w:rPr>
        <w:t>these</w:t>
      </w:r>
      <w:r w:rsidRPr="00946AF7">
        <w:rPr>
          <w:spacing w:val="-3"/>
        </w:rPr>
        <w:t xml:space="preserve"> </w:t>
      </w:r>
      <w:r w:rsidRPr="00946AF7">
        <w:rPr>
          <w:spacing w:val="-1"/>
        </w:rPr>
        <w:t>requirement</w:t>
      </w:r>
      <w:r>
        <w:rPr>
          <w:spacing w:val="-1"/>
        </w:rPr>
        <w:t>s</w:t>
      </w:r>
      <w:r w:rsidRPr="00946AF7">
        <w:rPr>
          <w:spacing w:val="-1"/>
        </w:rPr>
        <w:t xml:space="preserve"> are met, there</w:t>
      </w:r>
      <w:r w:rsidRPr="00946AF7">
        <w:rPr>
          <w:spacing w:val="4"/>
        </w:rPr>
        <w:t xml:space="preserve"> </w:t>
      </w:r>
      <w:r w:rsidRPr="00946AF7">
        <w:rPr>
          <w:spacing w:val="-1"/>
        </w:rPr>
        <w:t>is</w:t>
      </w:r>
      <w:r w:rsidRPr="00946AF7">
        <w:rPr>
          <w:spacing w:val="2"/>
        </w:rPr>
        <w:t xml:space="preserve"> </w:t>
      </w:r>
      <w:r w:rsidRPr="00946AF7">
        <w:rPr>
          <w:spacing w:val="-1"/>
        </w:rPr>
        <w:t>no</w:t>
      </w:r>
      <w:r w:rsidRPr="00946AF7">
        <w:rPr>
          <w:spacing w:val="4"/>
        </w:rPr>
        <w:t xml:space="preserve"> </w:t>
      </w:r>
      <w:r w:rsidRPr="00946AF7">
        <w:rPr>
          <w:spacing w:val="-1"/>
        </w:rPr>
        <w:t>discretion</w:t>
      </w:r>
      <w:r w:rsidRPr="00946AF7">
        <w:rPr>
          <w:spacing w:val="1"/>
        </w:rPr>
        <w:t xml:space="preserve"> </w:t>
      </w:r>
      <w:r w:rsidRPr="00946AF7">
        <w:rPr>
          <w:spacing w:val="-1"/>
        </w:rPr>
        <w:t>to</w:t>
      </w:r>
      <w:r w:rsidRPr="00946AF7">
        <w:rPr>
          <w:spacing w:val="2"/>
        </w:rPr>
        <w:t xml:space="preserve"> </w:t>
      </w:r>
      <w:r w:rsidRPr="00946AF7">
        <w:rPr>
          <w:spacing w:val="-1"/>
        </w:rPr>
        <w:t>deny</w:t>
      </w:r>
      <w:r w:rsidRPr="00946AF7">
        <w:rPr>
          <w:spacing w:val="-3"/>
        </w:rPr>
        <w:t xml:space="preserve"> </w:t>
      </w:r>
      <w:r w:rsidRPr="00946AF7">
        <w:rPr>
          <w:spacing w:val="-1"/>
        </w:rPr>
        <w:t>the</w:t>
      </w:r>
      <w:r w:rsidRPr="00946AF7">
        <w:rPr>
          <w:spacing w:val="2"/>
        </w:rPr>
        <w:t xml:space="preserve"> </w:t>
      </w:r>
      <w:r w:rsidRPr="00946AF7">
        <w:rPr>
          <w:spacing w:val="-1"/>
        </w:rPr>
        <w:t>application.</w:t>
      </w:r>
    </w:p>
    <w:p w:rsidR="006D7B1A" w:rsidRDefault="006D7B1A" w:rsidP="00043650">
      <w:pPr>
        <w:pStyle w:val="BodyText"/>
        <w:tabs>
          <w:tab w:val="left" w:pos="840"/>
        </w:tabs>
        <w:spacing w:line="245" w:lineRule="auto"/>
        <w:ind w:left="0"/>
        <w:jc w:val="both"/>
        <w:rPr>
          <w:spacing w:val="-1"/>
        </w:rPr>
      </w:pPr>
    </w:p>
    <w:p w:rsidR="006D7B1A" w:rsidRPr="006D7B1A" w:rsidRDefault="006D7B1A" w:rsidP="00043650">
      <w:pPr>
        <w:pStyle w:val="BodyText"/>
        <w:tabs>
          <w:tab w:val="left" w:pos="840"/>
        </w:tabs>
        <w:spacing w:line="245" w:lineRule="auto"/>
        <w:ind w:left="0"/>
        <w:jc w:val="both"/>
      </w:pPr>
      <w:r>
        <w:rPr>
          <w:spacing w:val="-1"/>
        </w:rPr>
        <w:t xml:space="preserve">However, as stated above, the request for approval of the private road layout is </w:t>
      </w:r>
      <w:r>
        <w:rPr>
          <w:b/>
          <w:spacing w:val="-1"/>
        </w:rPr>
        <w:t>legislative</w:t>
      </w:r>
      <w:r>
        <w:rPr>
          <w:spacing w:val="-1"/>
        </w:rPr>
        <w:t>, meaning that the city council is not necessarily required to approve the applications that are tied to private road approval. The planning commission and city council may choose to work with the applicant to revise the layout or request more information in order to make a well-informed recommendation or decision, respectively.</w:t>
      </w:r>
    </w:p>
    <w:p w:rsidR="00756802" w:rsidRDefault="00756802" w:rsidP="00043650">
      <w:pPr>
        <w:pStyle w:val="BodyText"/>
        <w:spacing w:line="245" w:lineRule="auto"/>
        <w:ind w:left="0"/>
        <w:jc w:val="both"/>
      </w:pPr>
    </w:p>
    <w:p w:rsidR="00E15403" w:rsidRPr="00475A99" w:rsidRDefault="00475A99" w:rsidP="00E4447B">
      <w:pPr>
        <w:spacing w:after="0"/>
        <w:jc w:val="both"/>
        <w:rPr>
          <w:rFonts w:ascii="Times New Roman" w:hAnsi="Times New Roman" w:cs="Times New Roman"/>
          <w:b/>
          <w:sz w:val="20"/>
          <w:szCs w:val="20"/>
        </w:rPr>
      </w:pPr>
      <w:r w:rsidRPr="00475A99">
        <w:rPr>
          <w:rFonts w:ascii="Times New Roman" w:hAnsi="Times New Roman" w:cs="Times New Roman"/>
          <w:b/>
          <w:sz w:val="20"/>
          <w:szCs w:val="20"/>
        </w:rPr>
        <w:t>Overall Development</w:t>
      </w:r>
    </w:p>
    <w:p w:rsidR="001A1A41" w:rsidRPr="001A1A41" w:rsidRDefault="00475A99" w:rsidP="001A1A41">
      <w:pPr>
        <w:spacing w:after="0"/>
        <w:jc w:val="both"/>
        <w:rPr>
          <w:rFonts w:ascii="Times New Roman" w:hAnsi="Times New Roman" w:cs="Times New Roman"/>
          <w:sz w:val="20"/>
          <w:szCs w:val="20"/>
        </w:rPr>
      </w:pPr>
      <w:r>
        <w:rPr>
          <w:rFonts w:ascii="Times New Roman" w:hAnsi="Times New Roman" w:cs="Times New Roman"/>
          <w:sz w:val="20"/>
          <w:szCs w:val="20"/>
        </w:rPr>
        <w:t xml:space="preserve">Staff has completed a review of the project for compliance with the Payson City Code and the annexation agreement. The following will need to be </w:t>
      </w:r>
      <w:r w:rsidR="00630356">
        <w:rPr>
          <w:rFonts w:ascii="Times New Roman" w:hAnsi="Times New Roman" w:cs="Times New Roman"/>
          <w:sz w:val="20"/>
          <w:szCs w:val="20"/>
        </w:rPr>
        <w:t xml:space="preserve">considered by </w:t>
      </w:r>
      <w:r>
        <w:rPr>
          <w:rFonts w:ascii="Times New Roman" w:hAnsi="Times New Roman" w:cs="Times New Roman"/>
          <w:sz w:val="20"/>
          <w:szCs w:val="20"/>
        </w:rPr>
        <w:t>the planning commission and city council:</w:t>
      </w:r>
      <w:r w:rsidR="001A1A41">
        <w:rPr>
          <w:rFonts w:ascii="Times New Roman" w:hAnsi="Times New Roman" w:cs="Times New Roman"/>
          <w:sz w:val="20"/>
          <w:szCs w:val="24"/>
        </w:rPr>
        <w:t xml:space="preserve"> </w:t>
      </w:r>
    </w:p>
    <w:p w:rsidR="001A1A41" w:rsidRDefault="001A1A41" w:rsidP="001A1A41">
      <w:pPr>
        <w:spacing w:after="0"/>
        <w:jc w:val="both"/>
        <w:rPr>
          <w:rFonts w:ascii="Times New Roman" w:hAnsi="Times New Roman" w:cs="Times New Roman"/>
          <w:sz w:val="20"/>
          <w:szCs w:val="24"/>
        </w:rPr>
      </w:pPr>
    </w:p>
    <w:p w:rsidR="001A1A41" w:rsidRDefault="001A1A41" w:rsidP="001A1A41">
      <w:pPr>
        <w:pStyle w:val="ListParagraph"/>
        <w:numPr>
          <w:ilvl w:val="0"/>
          <w:numId w:val="23"/>
        </w:numPr>
        <w:spacing w:after="0"/>
        <w:jc w:val="both"/>
        <w:rPr>
          <w:rFonts w:ascii="Times New Roman" w:hAnsi="Times New Roman" w:cs="Times New Roman"/>
          <w:sz w:val="20"/>
          <w:szCs w:val="24"/>
        </w:rPr>
      </w:pPr>
      <w:r>
        <w:rPr>
          <w:rFonts w:ascii="Times New Roman" w:hAnsi="Times New Roman" w:cs="Times New Roman"/>
          <w:sz w:val="20"/>
          <w:szCs w:val="24"/>
        </w:rPr>
        <w:t xml:space="preserve">As reflected on the Future Land Use Map of the Payson City General Plan, the project is located with a Mixed Use Development Node. These development nodes are important to the future economic vitality of the community and have the potential to be served by urban infrastructure, which may offer the opportunity for higher densities and more intense land uses. </w:t>
      </w:r>
    </w:p>
    <w:p w:rsidR="001A1A41" w:rsidRDefault="001A1A41" w:rsidP="001A1A41">
      <w:pPr>
        <w:pStyle w:val="ListParagraph"/>
        <w:numPr>
          <w:ilvl w:val="0"/>
          <w:numId w:val="23"/>
        </w:numPr>
        <w:spacing w:after="0"/>
        <w:jc w:val="both"/>
        <w:rPr>
          <w:rFonts w:ascii="Times New Roman" w:hAnsi="Times New Roman" w:cs="Times New Roman"/>
          <w:sz w:val="20"/>
          <w:szCs w:val="24"/>
        </w:rPr>
      </w:pPr>
      <w:r>
        <w:rPr>
          <w:rFonts w:ascii="Times New Roman" w:hAnsi="Times New Roman" w:cs="Times New Roman"/>
          <w:sz w:val="20"/>
          <w:szCs w:val="24"/>
        </w:rPr>
        <w:t>The annexation agreement anticipates a farmhouse style and design to be integrated into the overall development. The applicant has provided building elevations and color renderings that demonstrate the project is consistent with the design standards for this area</w:t>
      </w:r>
      <w:r>
        <w:rPr>
          <w:rFonts w:ascii="Times New Roman" w:hAnsi="Times New Roman" w:cs="Times New Roman"/>
          <w:sz w:val="20"/>
          <w:szCs w:val="24"/>
        </w:rPr>
        <w:t xml:space="preserve"> along public street frontage</w:t>
      </w:r>
      <w:r>
        <w:rPr>
          <w:rFonts w:ascii="Times New Roman" w:hAnsi="Times New Roman" w:cs="Times New Roman"/>
          <w:sz w:val="20"/>
          <w:szCs w:val="24"/>
        </w:rPr>
        <w:t>.</w:t>
      </w:r>
      <w:r>
        <w:rPr>
          <w:rFonts w:ascii="Times New Roman" w:hAnsi="Times New Roman" w:cs="Times New Roman"/>
          <w:sz w:val="20"/>
          <w:szCs w:val="24"/>
        </w:rPr>
        <w:t xml:space="preserve"> However, since private roads may be potentially approved </w:t>
      </w:r>
      <w:r>
        <w:rPr>
          <w:rFonts w:ascii="Times New Roman" w:hAnsi="Times New Roman" w:cs="Times New Roman"/>
          <w:i/>
          <w:sz w:val="20"/>
          <w:szCs w:val="24"/>
        </w:rPr>
        <w:t xml:space="preserve">within </w:t>
      </w:r>
      <w:r>
        <w:rPr>
          <w:rFonts w:ascii="Times New Roman" w:hAnsi="Times New Roman" w:cs="Times New Roman"/>
          <w:sz w:val="20"/>
          <w:szCs w:val="24"/>
        </w:rPr>
        <w:t xml:space="preserve">the development, the applicant will not need to meet the </w:t>
      </w:r>
      <w:r>
        <w:rPr>
          <w:rFonts w:ascii="Times New Roman" w:hAnsi="Times New Roman" w:cs="Times New Roman"/>
          <w:i/>
          <w:sz w:val="20"/>
          <w:szCs w:val="24"/>
        </w:rPr>
        <w:t xml:space="preserve">public </w:t>
      </w:r>
      <w:r>
        <w:rPr>
          <w:rFonts w:ascii="Times New Roman" w:hAnsi="Times New Roman" w:cs="Times New Roman"/>
          <w:sz w:val="20"/>
          <w:szCs w:val="24"/>
        </w:rPr>
        <w:t>street frontage design standards if the roads are classified as private. The planning commission and city council may determine it appropriate to require additional design elements along the proposed private roads as a condition of approval.</w:t>
      </w:r>
      <w:r>
        <w:rPr>
          <w:rFonts w:ascii="Times New Roman" w:hAnsi="Times New Roman" w:cs="Times New Roman"/>
          <w:sz w:val="20"/>
          <w:szCs w:val="24"/>
        </w:rPr>
        <w:t xml:space="preserve"> </w:t>
      </w:r>
    </w:p>
    <w:p w:rsidR="001A1A41" w:rsidRPr="001A1A41" w:rsidRDefault="001A1A41" w:rsidP="00E4447B">
      <w:pPr>
        <w:pStyle w:val="ListParagraph"/>
        <w:numPr>
          <w:ilvl w:val="0"/>
          <w:numId w:val="23"/>
        </w:numPr>
        <w:spacing w:after="0"/>
        <w:jc w:val="both"/>
        <w:rPr>
          <w:rFonts w:ascii="Times New Roman" w:hAnsi="Times New Roman" w:cs="Times New Roman"/>
          <w:sz w:val="20"/>
          <w:szCs w:val="24"/>
        </w:rPr>
      </w:pPr>
      <w:r>
        <w:rPr>
          <w:rFonts w:ascii="Times New Roman" w:hAnsi="Times New Roman" w:cs="Times New Roman"/>
          <w:sz w:val="20"/>
          <w:szCs w:val="24"/>
        </w:rPr>
        <w:t>The requested level of density meets all stipulations of both the RMF-15 Zone and annexation agreement.</w:t>
      </w:r>
    </w:p>
    <w:p w:rsidR="00630356" w:rsidRDefault="00C30A06" w:rsidP="001B5C8E">
      <w:pPr>
        <w:pStyle w:val="ListParagraph"/>
        <w:numPr>
          <w:ilvl w:val="0"/>
          <w:numId w:val="22"/>
        </w:numPr>
        <w:spacing w:after="0"/>
        <w:jc w:val="both"/>
        <w:rPr>
          <w:rFonts w:ascii="Times New Roman" w:hAnsi="Times New Roman" w:cs="Times New Roman"/>
          <w:sz w:val="20"/>
          <w:szCs w:val="20"/>
        </w:rPr>
      </w:pPr>
      <w:r>
        <w:rPr>
          <w:rFonts w:ascii="Times New Roman" w:hAnsi="Times New Roman" w:cs="Times New Roman"/>
          <w:sz w:val="20"/>
          <w:szCs w:val="24"/>
        </w:rPr>
        <w:t xml:space="preserve">To ensure compliance with the land use and development ordinances, the applicant will need to properly address the review comments provided by the Development Review Committee (DRC). Because the proposal includes modifications to the requirements of the Payson City Code, legislative approvals are necessary. If the modifications are not approved, preliminary plan approval should not be granted until the layout is modified to conform to the adopted regulations. </w:t>
      </w:r>
    </w:p>
    <w:p w:rsidR="006D7B1A" w:rsidRDefault="006D7B1A" w:rsidP="001B5C8E">
      <w:pPr>
        <w:pStyle w:val="ListParagraph"/>
        <w:numPr>
          <w:ilvl w:val="0"/>
          <w:numId w:val="22"/>
        </w:numPr>
        <w:spacing w:after="0"/>
        <w:jc w:val="both"/>
        <w:rPr>
          <w:rFonts w:ascii="Times New Roman" w:hAnsi="Times New Roman" w:cs="Times New Roman"/>
          <w:sz w:val="20"/>
          <w:szCs w:val="20"/>
        </w:rPr>
      </w:pPr>
      <w:r>
        <w:rPr>
          <w:rFonts w:ascii="Times New Roman" w:hAnsi="Times New Roman" w:cs="Times New Roman"/>
          <w:sz w:val="20"/>
          <w:szCs w:val="20"/>
        </w:rPr>
        <w:t>Private roads are not allowed in new developments in Payson under current ordinances. However, the city council</w:t>
      </w:r>
      <w:r w:rsidR="00C33550">
        <w:rPr>
          <w:rFonts w:ascii="Times New Roman" w:hAnsi="Times New Roman" w:cs="Times New Roman"/>
          <w:sz w:val="20"/>
          <w:szCs w:val="20"/>
        </w:rPr>
        <w:t xml:space="preserve"> is able to grant an exception o</w:t>
      </w:r>
      <w:r>
        <w:rPr>
          <w:rFonts w:ascii="Times New Roman" w:hAnsi="Times New Roman" w:cs="Times New Roman"/>
          <w:sz w:val="20"/>
          <w:szCs w:val="20"/>
        </w:rPr>
        <w:t>f the private road layout</w:t>
      </w:r>
      <w:r w:rsidR="00C33550">
        <w:rPr>
          <w:rFonts w:ascii="Times New Roman" w:hAnsi="Times New Roman" w:cs="Times New Roman"/>
          <w:sz w:val="20"/>
          <w:szCs w:val="20"/>
        </w:rPr>
        <w:t xml:space="preserve"> under unique circumstances</w:t>
      </w:r>
      <w:r>
        <w:rPr>
          <w:rFonts w:ascii="Times New Roman" w:hAnsi="Times New Roman" w:cs="Times New Roman"/>
          <w:sz w:val="20"/>
          <w:szCs w:val="20"/>
        </w:rPr>
        <w:t>.</w:t>
      </w:r>
      <w:r w:rsidR="00C33550">
        <w:rPr>
          <w:rFonts w:ascii="Times New Roman" w:hAnsi="Times New Roman" w:cs="Times New Roman"/>
          <w:sz w:val="20"/>
          <w:szCs w:val="20"/>
        </w:rPr>
        <w:t xml:space="preserve"> With this being a legislative change, the planning commission and city council should review the engineering staff report and consider whether or not approval of the private roads shown is the most appropriate decision.</w:t>
      </w:r>
    </w:p>
    <w:p w:rsidR="00284630" w:rsidRDefault="00284630" w:rsidP="001B5C8E">
      <w:pPr>
        <w:pStyle w:val="ListParagraph"/>
        <w:numPr>
          <w:ilvl w:val="0"/>
          <w:numId w:val="22"/>
        </w:numPr>
        <w:spacing w:after="0"/>
        <w:jc w:val="both"/>
        <w:rPr>
          <w:rFonts w:ascii="Times New Roman" w:hAnsi="Times New Roman" w:cs="Times New Roman"/>
          <w:sz w:val="20"/>
          <w:szCs w:val="20"/>
        </w:rPr>
      </w:pPr>
      <w:r>
        <w:rPr>
          <w:rFonts w:ascii="Times New Roman" w:hAnsi="Times New Roman" w:cs="Times New Roman"/>
          <w:sz w:val="20"/>
          <w:szCs w:val="20"/>
        </w:rPr>
        <w:t xml:space="preserve">The design standards for multifamily developments are largely tied to public street frontage. As such, since the streets within the VALO development are proposed to be private, the interior facades are not obligated to meet the ordinance’s design standards for buildings that abut a </w:t>
      </w:r>
      <w:r>
        <w:rPr>
          <w:rFonts w:ascii="Times New Roman" w:hAnsi="Times New Roman" w:cs="Times New Roman"/>
          <w:i/>
          <w:sz w:val="20"/>
          <w:szCs w:val="20"/>
        </w:rPr>
        <w:t xml:space="preserve">public </w:t>
      </w:r>
      <w:r>
        <w:rPr>
          <w:rFonts w:ascii="Times New Roman" w:hAnsi="Times New Roman" w:cs="Times New Roman"/>
          <w:sz w:val="20"/>
          <w:szCs w:val="20"/>
        </w:rPr>
        <w:t>street. As such, the planning commission and city council may want to request more detailed design along the proposed private street frontage as part of their legislative decision.</w:t>
      </w:r>
    </w:p>
    <w:p w:rsidR="00DC7A30" w:rsidRDefault="005E111D" w:rsidP="00FB3C6B">
      <w:pPr>
        <w:pStyle w:val="ListParagraph"/>
        <w:numPr>
          <w:ilvl w:val="0"/>
          <w:numId w:val="22"/>
        </w:numPr>
        <w:spacing w:after="0"/>
        <w:jc w:val="both"/>
        <w:rPr>
          <w:rFonts w:ascii="Times New Roman" w:hAnsi="Times New Roman" w:cs="Times New Roman"/>
          <w:sz w:val="20"/>
          <w:szCs w:val="20"/>
        </w:rPr>
      </w:pPr>
      <w:r w:rsidRPr="006D7B1A">
        <w:rPr>
          <w:rFonts w:ascii="Times New Roman" w:hAnsi="Times New Roman" w:cs="Times New Roman"/>
          <w:sz w:val="20"/>
          <w:szCs w:val="20"/>
        </w:rPr>
        <w:t>Project amenities are an important element of residential neighborhoods, especially multi-family projects.</w:t>
      </w:r>
      <w:r w:rsidR="00630356" w:rsidRPr="006D7B1A">
        <w:rPr>
          <w:rFonts w:ascii="Times New Roman" w:hAnsi="Times New Roman" w:cs="Times New Roman"/>
          <w:sz w:val="20"/>
          <w:szCs w:val="20"/>
        </w:rPr>
        <w:t xml:space="preserve"> The applicant is proposing to </w:t>
      </w:r>
      <w:r w:rsidR="00D34E6A">
        <w:rPr>
          <w:rFonts w:ascii="Times New Roman" w:hAnsi="Times New Roman" w:cs="Times New Roman"/>
          <w:sz w:val="20"/>
          <w:szCs w:val="20"/>
        </w:rPr>
        <w:t>provide amenities both on-site and off-site by aggregating</w:t>
      </w:r>
      <w:r w:rsidR="00630356" w:rsidRPr="006D7B1A">
        <w:rPr>
          <w:rFonts w:ascii="Times New Roman" w:hAnsi="Times New Roman" w:cs="Times New Roman"/>
          <w:sz w:val="20"/>
          <w:szCs w:val="20"/>
        </w:rPr>
        <w:t xml:space="preserve"> the amenities required for Lots 3 (Residence at South Haven Farms) and Lot 4 (</w:t>
      </w:r>
      <w:r w:rsidR="006D7B1A" w:rsidRPr="006D7B1A">
        <w:rPr>
          <w:rFonts w:ascii="Times New Roman" w:hAnsi="Times New Roman" w:cs="Times New Roman"/>
          <w:sz w:val="20"/>
          <w:szCs w:val="20"/>
        </w:rPr>
        <w:t>VALO at South Haven Farms</w:t>
      </w:r>
      <w:r w:rsidR="00630356" w:rsidRPr="006D7B1A">
        <w:rPr>
          <w:rFonts w:ascii="Times New Roman" w:hAnsi="Times New Roman" w:cs="Times New Roman"/>
          <w:sz w:val="20"/>
          <w:szCs w:val="20"/>
        </w:rPr>
        <w:t>). These neighbo</w:t>
      </w:r>
      <w:r w:rsidR="006D7B1A" w:rsidRPr="006D7B1A">
        <w:rPr>
          <w:rFonts w:ascii="Times New Roman" w:hAnsi="Times New Roman" w:cs="Times New Roman"/>
          <w:sz w:val="20"/>
          <w:szCs w:val="20"/>
        </w:rPr>
        <w:t xml:space="preserve">rhoods, as well as the senior housing </w:t>
      </w:r>
      <w:r w:rsidR="00630356" w:rsidRPr="006D7B1A">
        <w:rPr>
          <w:rFonts w:ascii="Times New Roman" w:hAnsi="Times New Roman" w:cs="Times New Roman"/>
          <w:sz w:val="20"/>
          <w:szCs w:val="20"/>
        </w:rPr>
        <w:t xml:space="preserve">on Lot 1, will have access to these amenities. </w:t>
      </w:r>
    </w:p>
    <w:p w:rsidR="006D7B1A" w:rsidRPr="006D7B1A" w:rsidRDefault="006D7B1A" w:rsidP="006D7B1A">
      <w:pPr>
        <w:pStyle w:val="ListParagraph"/>
        <w:spacing w:after="0"/>
        <w:jc w:val="both"/>
        <w:rPr>
          <w:rFonts w:ascii="Times New Roman" w:hAnsi="Times New Roman" w:cs="Times New Roman"/>
          <w:sz w:val="20"/>
          <w:szCs w:val="20"/>
        </w:rPr>
      </w:pPr>
    </w:p>
    <w:p w:rsidR="00B81B2E" w:rsidRPr="00B81B2E" w:rsidRDefault="00B81B2E" w:rsidP="00CF100A">
      <w:pPr>
        <w:spacing w:after="0"/>
        <w:jc w:val="both"/>
        <w:rPr>
          <w:rFonts w:ascii="Times New Roman" w:hAnsi="Times New Roman" w:cs="Times New Roman"/>
          <w:sz w:val="20"/>
          <w:szCs w:val="20"/>
        </w:rPr>
      </w:pPr>
      <w:r w:rsidRPr="00B81B2E">
        <w:rPr>
          <w:rFonts w:ascii="Times New Roman" w:hAnsi="Times New Roman" w:cs="Times New Roman"/>
          <w:sz w:val="20"/>
          <w:szCs w:val="20"/>
        </w:rPr>
        <w:t xml:space="preserve">These items represent the issues </w:t>
      </w:r>
      <w:r w:rsidR="006D7B1A">
        <w:rPr>
          <w:rFonts w:ascii="Times New Roman" w:hAnsi="Times New Roman" w:cs="Times New Roman"/>
          <w:sz w:val="20"/>
          <w:szCs w:val="20"/>
        </w:rPr>
        <w:t>that either conflict with current city ordinances or simply require more discussion by the land use authority</w:t>
      </w:r>
      <w:r w:rsidRPr="00B81B2E">
        <w:rPr>
          <w:rFonts w:ascii="Times New Roman" w:hAnsi="Times New Roman" w:cs="Times New Roman"/>
          <w:sz w:val="20"/>
          <w:szCs w:val="20"/>
        </w:rPr>
        <w:t xml:space="preserve">. The </w:t>
      </w:r>
      <w:r>
        <w:rPr>
          <w:rFonts w:ascii="Times New Roman" w:hAnsi="Times New Roman" w:cs="Times New Roman"/>
          <w:sz w:val="20"/>
          <w:szCs w:val="20"/>
        </w:rPr>
        <w:t>planning c</w:t>
      </w:r>
      <w:r w:rsidRPr="00B81B2E">
        <w:rPr>
          <w:rFonts w:ascii="Times New Roman" w:hAnsi="Times New Roman" w:cs="Times New Roman"/>
          <w:sz w:val="20"/>
          <w:szCs w:val="20"/>
        </w:rPr>
        <w:t xml:space="preserve">ommission and </w:t>
      </w:r>
      <w:r>
        <w:rPr>
          <w:rFonts w:ascii="Times New Roman" w:hAnsi="Times New Roman" w:cs="Times New Roman"/>
          <w:sz w:val="20"/>
          <w:szCs w:val="20"/>
        </w:rPr>
        <w:t>city c</w:t>
      </w:r>
      <w:r w:rsidRPr="00B81B2E">
        <w:rPr>
          <w:rFonts w:ascii="Times New Roman" w:hAnsi="Times New Roman" w:cs="Times New Roman"/>
          <w:sz w:val="20"/>
          <w:szCs w:val="20"/>
        </w:rPr>
        <w:t>ouncil will need to determine if the proposed project is consistent with the</w:t>
      </w:r>
      <w:r w:rsidR="00CF100A">
        <w:rPr>
          <w:rFonts w:ascii="Times New Roman" w:hAnsi="Times New Roman" w:cs="Times New Roman"/>
          <w:sz w:val="20"/>
          <w:szCs w:val="20"/>
        </w:rPr>
        <w:t xml:space="preserve"> adopted </w:t>
      </w:r>
      <w:r w:rsidRPr="00B81B2E">
        <w:rPr>
          <w:rFonts w:ascii="Times New Roman" w:hAnsi="Times New Roman" w:cs="Times New Roman"/>
          <w:sz w:val="20"/>
          <w:szCs w:val="20"/>
        </w:rPr>
        <w:t>land use</w:t>
      </w:r>
      <w:r>
        <w:rPr>
          <w:rFonts w:ascii="Times New Roman" w:hAnsi="Times New Roman" w:cs="Times New Roman"/>
          <w:sz w:val="20"/>
          <w:szCs w:val="20"/>
        </w:rPr>
        <w:t xml:space="preserve"> goals, ordinances, and policies </w:t>
      </w:r>
      <w:r w:rsidRPr="00B81B2E">
        <w:rPr>
          <w:rFonts w:ascii="Times New Roman" w:hAnsi="Times New Roman" w:cs="Times New Roman"/>
          <w:sz w:val="20"/>
          <w:szCs w:val="20"/>
        </w:rPr>
        <w:t>or if modifications are necessary to accomplish the goals</w:t>
      </w:r>
      <w:r w:rsidR="006D7B1A">
        <w:rPr>
          <w:rFonts w:ascii="Times New Roman" w:hAnsi="Times New Roman" w:cs="Times New Roman"/>
          <w:sz w:val="20"/>
          <w:szCs w:val="20"/>
        </w:rPr>
        <w:t xml:space="preserve"> established in the </w:t>
      </w:r>
      <w:r w:rsidRPr="00B81B2E">
        <w:rPr>
          <w:rFonts w:ascii="Times New Roman" w:hAnsi="Times New Roman" w:cs="Times New Roman"/>
          <w:sz w:val="20"/>
          <w:szCs w:val="20"/>
        </w:rPr>
        <w:t xml:space="preserve">General Plan and/or the </w:t>
      </w:r>
      <w:r w:rsidR="00707788">
        <w:rPr>
          <w:rFonts w:ascii="Times New Roman" w:hAnsi="Times New Roman" w:cs="Times New Roman"/>
          <w:sz w:val="20"/>
          <w:szCs w:val="20"/>
        </w:rPr>
        <w:t>Holdaway-Pleasant Flats</w:t>
      </w:r>
      <w:r w:rsidR="00DC7A30">
        <w:rPr>
          <w:rFonts w:ascii="Times New Roman" w:hAnsi="Times New Roman" w:cs="Times New Roman"/>
          <w:sz w:val="20"/>
          <w:szCs w:val="20"/>
        </w:rPr>
        <w:t xml:space="preserve"> Annexation Agreement. </w:t>
      </w:r>
      <w:r w:rsidRPr="00B81B2E">
        <w:rPr>
          <w:rFonts w:ascii="Times New Roman" w:hAnsi="Times New Roman" w:cs="Times New Roman"/>
          <w:sz w:val="20"/>
          <w:szCs w:val="20"/>
        </w:rPr>
        <w:t xml:space="preserve">The staff, </w:t>
      </w:r>
      <w:r w:rsidR="00CF100A">
        <w:rPr>
          <w:rFonts w:ascii="Times New Roman" w:hAnsi="Times New Roman" w:cs="Times New Roman"/>
          <w:sz w:val="20"/>
          <w:szCs w:val="20"/>
        </w:rPr>
        <w:t>planning c</w:t>
      </w:r>
      <w:r w:rsidRPr="00B81B2E">
        <w:rPr>
          <w:rFonts w:ascii="Times New Roman" w:hAnsi="Times New Roman" w:cs="Times New Roman"/>
          <w:sz w:val="20"/>
          <w:szCs w:val="20"/>
        </w:rPr>
        <w:t>ommission</w:t>
      </w:r>
      <w:r w:rsidR="006D7B1A">
        <w:rPr>
          <w:rFonts w:ascii="Times New Roman" w:hAnsi="Times New Roman" w:cs="Times New Roman"/>
          <w:sz w:val="20"/>
          <w:szCs w:val="20"/>
        </w:rPr>
        <w:t>,</w:t>
      </w:r>
      <w:r w:rsidRPr="00B81B2E">
        <w:rPr>
          <w:rFonts w:ascii="Times New Roman" w:hAnsi="Times New Roman" w:cs="Times New Roman"/>
          <w:sz w:val="20"/>
          <w:szCs w:val="20"/>
        </w:rPr>
        <w:t xml:space="preserve"> and </w:t>
      </w:r>
      <w:r w:rsidR="00CF100A">
        <w:rPr>
          <w:rFonts w:ascii="Times New Roman" w:hAnsi="Times New Roman" w:cs="Times New Roman"/>
          <w:sz w:val="20"/>
          <w:szCs w:val="20"/>
        </w:rPr>
        <w:t>c</w:t>
      </w:r>
      <w:r w:rsidRPr="00B81B2E">
        <w:rPr>
          <w:rFonts w:ascii="Times New Roman" w:hAnsi="Times New Roman" w:cs="Times New Roman"/>
          <w:sz w:val="20"/>
          <w:szCs w:val="20"/>
        </w:rPr>
        <w:t xml:space="preserve">ity </w:t>
      </w:r>
      <w:r w:rsidR="00CF100A">
        <w:rPr>
          <w:rFonts w:ascii="Times New Roman" w:hAnsi="Times New Roman" w:cs="Times New Roman"/>
          <w:sz w:val="20"/>
          <w:szCs w:val="20"/>
        </w:rPr>
        <w:t>c</w:t>
      </w:r>
      <w:r w:rsidRPr="00B81B2E">
        <w:rPr>
          <w:rFonts w:ascii="Times New Roman" w:hAnsi="Times New Roman" w:cs="Times New Roman"/>
          <w:sz w:val="20"/>
          <w:szCs w:val="20"/>
        </w:rPr>
        <w:t>ouncil may require additional information in order to make a well-informed recommendation or decision.</w:t>
      </w:r>
    </w:p>
    <w:p w:rsidR="005B4567" w:rsidRDefault="005B4567" w:rsidP="001D52E0">
      <w:pPr>
        <w:spacing w:after="0"/>
        <w:jc w:val="both"/>
        <w:rPr>
          <w:rFonts w:ascii="Times New Roman" w:hAnsi="Times New Roman" w:cs="Times New Roman"/>
          <w:sz w:val="20"/>
          <w:szCs w:val="24"/>
        </w:rPr>
      </w:pPr>
    </w:p>
    <w:p w:rsidR="00F47C70" w:rsidRPr="00B81B2E" w:rsidRDefault="00F47C70" w:rsidP="001D52E0">
      <w:pPr>
        <w:spacing w:after="0"/>
        <w:jc w:val="both"/>
        <w:rPr>
          <w:rFonts w:ascii="Times New Roman" w:hAnsi="Times New Roman" w:cs="Times New Roman"/>
          <w:sz w:val="20"/>
          <w:szCs w:val="24"/>
        </w:rPr>
      </w:pPr>
    </w:p>
    <w:p w:rsidR="009E1C38" w:rsidRPr="00754902" w:rsidRDefault="009E1C38" w:rsidP="001D52E0">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rsidR="00B8724A" w:rsidRPr="00B8724A" w:rsidRDefault="00D90A0B" w:rsidP="001D52E0">
      <w:pPr>
        <w:spacing w:after="0"/>
        <w:jc w:val="both"/>
        <w:rPr>
          <w:rFonts w:ascii="Times New Roman" w:hAnsi="Times New Roman" w:cs="Times New Roman"/>
          <w:sz w:val="20"/>
          <w:szCs w:val="20"/>
        </w:rPr>
      </w:pPr>
      <w:r>
        <w:rPr>
          <w:rFonts w:ascii="Times New Roman" w:hAnsi="Times New Roman" w:cs="Times New Roman"/>
          <w:sz w:val="20"/>
          <w:szCs w:val="20"/>
        </w:rPr>
        <w:t>The applicants are</w:t>
      </w:r>
      <w:r w:rsidR="00B8724A" w:rsidRPr="00B8724A">
        <w:rPr>
          <w:rFonts w:ascii="Times New Roman" w:hAnsi="Times New Roman" w:cs="Times New Roman"/>
          <w:sz w:val="20"/>
          <w:szCs w:val="20"/>
        </w:rPr>
        <w:t xml:space="preserve"> seeking a recommendation of </w:t>
      </w:r>
      <w:r w:rsidR="00707788">
        <w:rPr>
          <w:rFonts w:ascii="Times New Roman" w:hAnsi="Times New Roman" w:cs="Times New Roman"/>
          <w:sz w:val="20"/>
          <w:szCs w:val="20"/>
        </w:rPr>
        <w:t xml:space="preserve">approval for the </w:t>
      </w:r>
      <w:r w:rsidR="006D7B1A">
        <w:rPr>
          <w:rFonts w:ascii="Times New Roman" w:hAnsi="Times New Roman" w:cs="Times New Roman"/>
          <w:sz w:val="20"/>
          <w:szCs w:val="20"/>
        </w:rPr>
        <w:t>VALO</w:t>
      </w:r>
      <w:r w:rsidR="00707788">
        <w:rPr>
          <w:rFonts w:ascii="Times New Roman" w:hAnsi="Times New Roman" w:cs="Times New Roman"/>
          <w:sz w:val="20"/>
          <w:szCs w:val="20"/>
        </w:rPr>
        <w:t xml:space="preserve"> at South Haven Farms </w:t>
      </w:r>
      <w:r w:rsidR="006D7B1A">
        <w:rPr>
          <w:rFonts w:ascii="Times New Roman" w:hAnsi="Times New Roman" w:cs="Times New Roman"/>
          <w:sz w:val="20"/>
          <w:szCs w:val="20"/>
        </w:rPr>
        <w:t xml:space="preserve">townhome </w:t>
      </w:r>
      <w:r w:rsidR="00707788">
        <w:rPr>
          <w:rFonts w:ascii="Times New Roman" w:hAnsi="Times New Roman" w:cs="Times New Roman"/>
          <w:sz w:val="20"/>
          <w:szCs w:val="20"/>
        </w:rPr>
        <w:t>development</w:t>
      </w:r>
      <w:r w:rsidR="00AC2E5B">
        <w:rPr>
          <w:rFonts w:ascii="Times New Roman" w:hAnsi="Times New Roman" w:cs="Times New Roman"/>
          <w:sz w:val="20"/>
          <w:szCs w:val="20"/>
        </w:rPr>
        <w:t>, including private roads</w:t>
      </w:r>
      <w:r w:rsidR="00A1543F">
        <w:rPr>
          <w:rFonts w:ascii="Times New Roman" w:hAnsi="Times New Roman" w:cs="Times New Roman"/>
          <w:sz w:val="20"/>
          <w:szCs w:val="20"/>
        </w:rPr>
        <w:t>.</w:t>
      </w:r>
      <w:r w:rsidR="00AC2E5B">
        <w:rPr>
          <w:rFonts w:ascii="Times New Roman" w:hAnsi="Times New Roman" w:cs="Times New Roman"/>
          <w:sz w:val="20"/>
          <w:szCs w:val="20"/>
        </w:rPr>
        <w:t xml:space="preserve"> The applicants are also requesting a recommendation of approval for the Preliminary Plan and Final Plat of South Haven Farms Subdivision Plat B</w:t>
      </w:r>
      <w:r w:rsidR="00707788">
        <w:rPr>
          <w:rFonts w:ascii="Times New Roman" w:hAnsi="Times New Roman" w:cs="Times New Roman"/>
          <w:sz w:val="20"/>
          <w:szCs w:val="20"/>
        </w:rPr>
        <w:t xml:space="preserve">. </w:t>
      </w:r>
      <w:r w:rsidR="00B8724A" w:rsidRPr="00B8724A">
        <w:rPr>
          <w:rFonts w:ascii="Times New Roman" w:hAnsi="Times New Roman" w:cs="Times New Roman"/>
          <w:sz w:val="20"/>
          <w:szCs w:val="20"/>
        </w:rPr>
        <w:t>The planning commission, following a public hearing to receive public input, may:</w:t>
      </w:r>
    </w:p>
    <w:p w:rsidR="00B8724A" w:rsidRPr="00B8724A" w:rsidRDefault="00B8724A" w:rsidP="00B8724A">
      <w:pPr>
        <w:numPr>
          <w:ilvl w:val="0"/>
          <w:numId w:val="12"/>
        </w:numPr>
        <w:spacing w:before="100" w:beforeAutospacing="1" w:after="100" w:afterAutospacing="1" w:line="240" w:lineRule="auto"/>
        <w:ind w:left="360"/>
        <w:jc w:val="both"/>
        <w:rPr>
          <w:rFonts w:ascii="Times New Roman" w:hAnsi="Times New Roman" w:cs="Times New Roman"/>
          <w:sz w:val="20"/>
          <w:szCs w:val="20"/>
        </w:rPr>
      </w:pPr>
      <w:r w:rsidRPr="00B8724A">
        <w:rPr>
          <w:rFonts w:ascii="Times New Roman" w:hAnsi="Times New Roman" w:cs="Times New Roman"/>
          <w:sz w:val="20"/>
          <w:szCs w:val="20"/>
        </w:rPr>
        <w:lastRenderedPageBreak/>
        <w:t xml:space="preserve">Remand the proposed request back to staff for further review. This action should be taken </w:t>
      </w:r>
      <w:r w:rsidR="00823983">
        <w:rPr>
          <w:rFonts w:ascii="Times New Roman" w:hAnsi="Times New Roman" w:cs="Times New Roman"/>
          <w:sz w:val="20"/>
          <w:szCs w:val="20"/>
        </w:rPr>
        <w:t>if it is determined</w:t>
      </w:r>
      <w:r w:rsidRPr="00B8724A">
        <w:rPr>
          <w:rFonts w:ascii="Times New Roman" w:hAnsi="Times New Roman" w:cs="Times New Roman"/>
          <w:sz w:val="20"/>
          <w:szCs w:val="20"/>
        </w:rPr>
        <w:t xml:space="preserve"> there is not enough information provided by the applicant for the </w:t>
      </w:r>
      <w:r w:rsidR="00823983">
        <w:rPr>
          <w:rFonts w:ascii="Times New Roman" w:hAnsi="Times New Roman" w:cs="Times New Roman"/>
          <w:sz w:val="20"/>
          <w:szCs w:val="20"/>
        </w:rPr>
        <w:t>p</w:t>
      </w:r>
      <w:r w:rsidRPr="00B8724A">
        <w:rPr>
          <w:rFonts w:ascii="Times New Roman" w:hAnsi="Times New Roman" w:cs="Times New Roman"/>
          <w:sz w:val="20"/>
          <w:szCs w:val="20"/>
        </w:rPr>
        <w:t xml:space="preserve">lanning </w:t>
      </w:r>
      <w:r w:rsidR="00823983">
        <w:rPr>
          <w:rFonts w:ascii="Times New Roman" w:hAnsi="Times New Roman" w:cs="Times New Roman"/>
          <w:sz w:val="20"/>
          <w:szCs w:val="20"/>
        </w:rPr>
        <w:t>c</w:t>
      </w:r>
      <w:r w:rsidRPr="00B8724A">
        <w:rPr>
          <w:rFonts w:ascii="Times New Roman" w:hAnsi="Times New Roman" w:cs="Times New Roman"/>
          <w:sz w:val="20"/>
          <w:szCs w:val="20"/>
        </w:rPr>
        <w:t xml:space="preserve">ommission to formulate a well-informed recommendation. </w:t>
      </w:r>
    </w:p>
    <w:p w:rsidR="00B8724A" w:rsidRPr="00B8724A" w:rsidRDefault="00B8724A" w:rsidP="00B8724A">
      <w:pPr>
        <w:numPr>
          <w:ilvl w:val="0"/>
          <w:numId w:val="12"/>
        </w:numPr>
        <w:spacing w:before="100" w:beforeAutospacing="1" w:after="100" w:afterAutospacing="1" w:line="240" w:lineRule="auto"/>
        <w:ind w:left="360"/>
        <w:jc w:val="both"/>
        <w:rPr>
          <w:rFonts w:ascii="Times New Roman" w:hAnsi="Times New Roman" w:cs="Times New Roman"/>
          <w:sz w:val="20"/>
          <w:szCs w:val="20"/>
        </w:rPr>
      </w:pPr>
      <w:r w:rsidRPr="00B8724A">
        <w:rPr>
          <w:rFonts w:ascii="Times New Roman" w:hAnsi="Times New Roman" w:cs="Times New Roman"/>
          <w:sz w:val="20"/>
          <w:szCs w:val="20"/>
        </w:rPr>
        <w:t xml:space="preserve">Recommend approval contingent upon the satisfaction of staff suggestions and any additional conditions deemed necessary to achieve the land use goals of Payson City. Staff would suggest that if the </w:t>
      </w:r>
      <w:r w:rsidR="00823983">
        <w:rPr>
          <w:rFonts w:ascii="Times New Roman" w:hAnsi="Times New Roman" w:cs="Times New Roman"/>
          <w:sz w:val="20"/>
          <w:szCs w:val="20"/>
        </w:rPr>
        <w:t>planning c</w:t>
      </w:r>
      <w:r w:rsidRPr="00B8724A">
        <w:rPr>
          <w:rFonts w:ascii="Times New Roman" w:hAnsi="Times New Roman" w:cs="Times New Roman"/>
          <w:sz w:val="20"/>
          <w:szCs w:val="20"/>
        </w:rPr>
        <w:t xml:space="preserve">ommission recommends approval of </w:t>
      </w:r>
      <w:r w:rsidR="000E0B0F">
        <w:rPr>
          <w:rFonts w:ascii="Times New Roman" w:hAnsi="Times New Roman" w:cs="Times New Roman"/>
          <w:sz w:val="20"/>
          <w:szCs w:val="20"/>
        </w:rPr>
        <w:t>these proposals</w:t>
      </w:r>
      <w:r w:rsidR="00707788">
        <w:rPr>
          <w:rFonts w:ascii="Times New Roman" w:hAnsi="Times New Roman" w:cs="Times New Roman"/>
          <w:sz w:val="20"/>
          <w:szCs w:val="20"/>
        </w:rPr>
        <w:t xml:space="preserve"> </w:t>
      </w:r>
      <w:r w:rsidRPr="00B8724A">
        <w:rPr>
          <w:rFonts w:ascii="Times New Roman" w:hAnsi="Times New Roman" w:cs="Times New Roman"/>
          <w:sz w:val="20"/>
          <w:szCs w:val="20"/>
        </w:rPr>
        <w:t>contingent upon the satisfaction of appropriate conditions, the applicant will be required to satisfy the regulations of the Payson City Code</w:t>
      </w:r>
      <w:r w:rsidR="00707788">
        <w:rPr>
          <w:rFonts w:ascii="Times New Roman" w:hAnsi="Times New Roman" w:cs="Times New Roman"/>
          <w:sz w:val="20"/>
          <w:szCs w:val="20"/>
        </w:rPr>
        <w:t>, the annexation agreement,</w:t>
      </w:r>
      <w:r w:rsidRPr="00B8724A">
        <w:rPr>
          <w:rFonts w:ascii="Times New Roman" w:hAnsi="Times New Roman" w:cs="Times New Roman"/>
          <w:sz w:val="20"/>
          <w:szCs w:val="20"/>
        </w:rPr>
        <w:t xml:space="preserve"> and the land use goals of the City.</w:t>
      </w:r>
    </w:p>
    <w:p w:rsidR="00B8724A" w:rsidRDefault="00B8724A" w:rsidP="00E14C15">
      <w:pPr>
        <w:numPr>
          <w:ilvl w:val="0"/>
          <w:numId w:val="12"/>
        </w:numPr>
        <w:spacing w:before="100" w:beforeAutospacing="1" w:after="0" w:afterAutospacing="1" w:line="240" w:lineRule="auto"/>
        <w:ind w:left="360"/>
        <w:jc w:val="both"/>
        <w:rPr>
          <w:rFonts w:ascii="Times New Roman" w:hAnsi="Times New Roman" w:cs="Times New Roman"/>
          <w:sz w:val="20"/>
          <w:szCs w:val="20"/>
        </w:rPr>
      </w:pPr>
      <w:r w:rsidRPr="00B8724A">
        <w:rPr>
          <w:rFonts w:ascii="Times New Roman" w:hAnsi="Times New Roman" w:cs="Times New Roman"/>
          <w:sz w:val="20"/>
          <w:szCs w:val="20"/>
        </w:rPr>
        <w:t xml:space="preserve">Recommend denial of the </w:t>
      </w:r>
      <w:r w:rsidR="000E0B0F">
        <w:rPr>
          <w:rFonts w:ascii="Times New Roman" w:hAnsi="Times New Roman" w:cs="Times New Roman"/>
          <w:sz w:val="20"/>
          <w:szCs w:val="20"/>
        </w:rPr>
        <w:t xml:space="preserve">development applications. </w:t>
      </w:r>
      <w:r w:rsidRPr="00B8724A">
        <w:rPr>
          <w:rFonts w:ascii="Times New Roman" w:hAnsi="Times New Roman" w:cs="Times New Roman"/>
          <w:sz w:val="20"/>
          <w:szCs w:val="20"/>
        </w:rPr>
        <w:t xml:space="preserve">This action should be taken if the </w:t>
      </w:r>
      <w:r w:rsidR="00823983">
        <w:rPr>
          <w:rFonts w:ascii="Times New Roman" w:hAnsi="Times New Roman" w:cs="Times New Roman"/>
          <w:sz w:val="20"/>
          <w:szCs w:val="20"/>
        </w:rPr>
        <w:t>p</w:t>
      </w:r>
      <w:r w:rsidRPr="00B8724A">
        <w:rPr>
          <w:rFonts w:ascii="Times New Roman" w:hAnsi="Times New Roman" w:cs="Times New Roman"/>
          <w:sz w:val="20"/>
          <w:szCs w:val="20"/>
        </w:rPr>
        <w:t xml:space="preserve">lanning </w:t>
      </w:r>
      <w:r w:rsidR="00823983">
        <w:rPr>
          <w:rFonts w:ascii="Times New Roman" w:hAnsi="Times New Roman" w:cs="Times New Roman"/>
          <w:sz w:val="20"/>
          <w:szCs w:val="20"/>
        </w:rPr>
        <w:t>c</w:t>
      </w:r>
      <w:r w:rsidRPr="00B8724A">
        <w:rPr>
          <w:rFonts w:ascii="Times New Roman" w:hAnsi="Times New Roman" w:cs="Times New Roman"/>
          <w:sz w:val="20"/>
          <w:szCs w:val="20"/>
        </w:rPr>
        <w:t>ommission determines the applicant is unwilling or unable to satisfy the regulations of the Payson City Code and the land use goals of the City.</w:t>
      </w:r>
    </w:p>
    <w:p w:rsidR="00CA5566" w:rsidRPr="00B8724A" w:rsidRDefault="00CA5566" w:rsidP="00CA5566">
      <w:pPr>
        <w:spacing w:after="0"/>
        <w:jc w:val="both"/>
        <w:rPr>
          <w:rFonts w:ascii="Times New Roman" w:hAnsi="Times New Roman" w:cs="Times New Roman"/>
          <w:sz w:val="20"/>
          <w:szCs w:val="20"/>
        </w:rPr>
      </w:pPr>
      <w:r w:rsidRPr="00B8724A">
        <w:rPr>
          <w:rFonts w:ascii="Times New Roman" w:hAnsi="Times New Roman"/>
          <w:sz w:val="20"/>
          <w:szCs w:val="20"/>
        </w:rPr>
        <w:t xml:space="preserve">Any motion of the </w:t>
      </w:r>
      <w:r w:rsidR="00823983">
        <w:rPr>
          <w:rFonts w:ascii="Times New Roman" w:hAnsi="Times New Roman"/>
          <w:sz w:val="20"/>
          <w:szCs w:val="20"/>
        </w:rPr>
        <w:t>p</w:t>
      </w:r>
      <w:r w:rsidRPr="00B8724A">
        <w:rPr>
          <w:rFonts w:ascii="Times New Roman" w:hAnsi="Times New Roman"/>
          <w:sz w:val="20"/>
          <w:szCs w:val="20"/>
        </w:rPr>
        <w:t xml:space="preserve">lanning </w:t>
      </w:r>
      <w:r w:rsidR="00823983">
        <w:rPr>
          <w:rFonts w:ascii="Times New Roman" w:hAnsi="Times New Roman"/>
          <w:sz w:val="20"/>
          <w:szCs w:val="20"/>
        </w:rPr>
        <w:t>c</w:t>
      </w:r>
      <w:r w:rsidRPr="00B8724A">
        <w:rPr>
          <w:rFonts w:ascii="Times New Roman" w:hAnsi="Times New Roman"/>
          <w:sz w:val="20"/>
          <w:szCs w:val="20"/>
        </w:rPr>
        <w:t xml:space="preserve">ommission should include findings that indicate reasonable conclusions for the recommendation forwarded to the </w:t>
      </w:r>
      <w:r w:rsidR="00823983">
        <w:rPr>
          <w:rFonts w:ascii="Times New Roman" w:hAnsi="Times New Roman"/>
          <w:sz w:val="20"/>
          <w:szCs w:val="20"/>
        </w:rPr>
        <w:t>city c</w:t>
      </w:r>
      <w:r w:rsidRPr="00B8724A">
        <w:rPr>
          <w:rFonts w:ascii="Times New Roman" w:hAnsi="Times New Roman"/>
          <w:sz w:val="20"/>
          <w:szCs w:val="20"/>
        </w:rPr>
        <w:t>ouncil.</w:t>
      </w:r>
    </w:p>
    <w:sectPr w:rsidR="00CA5566" w:rsidRPr="00B8724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026" w:rsidRDefault="00FD4026" w:rsidP="003F335A">
      <w:pPr>
        <w:spacing w:after="0" w:line="240" w:lineRule="auto"/>
      </w:pPr>
      <w:r>
        <w:separator/>
      </w:r>
    </w:p>
  </w:endnote>
  <w:endnote w:type="continuationSeparator" w:id="0">
    <w:p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9F6A69">
              <w:rPr>
                <w:rFonts w:ascii="Times New Roman" w:hAnsi="Times New Roman" w:cs="Times New Roman"/>
                <w:b/>
                <w:bCs/>
                <w:noProof/>
              </w:rPr>
              <w:t>2</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9F6A69">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026" w:rsidRDefault="00FD4026" w:rsidP="003F335A">
      <w:pPr>
        <w:spacing w:after="0" w:line="240" w:lineRule="auto"/>
      </w:pPr>
      <w:r>
        <w:separator/>
      </w:r>
    </w:p>
  </w:footnote>
  <w:footnote w:type="continuationSeparator" w:id="0">
    <w:p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96D0D"/>
    <w:multiLevelType w:val="hybridMultilevel"/>
    <w:tmpl w:val="CA2EF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DB729E"/>
    <w:multiLevelType w:val="hybridMultilevel"/>
    <w:tmpl w:val="CBA03864"/>
    <w:lvl w:ilvl="0" w:tplc="3000F732">
      <w:numFmt w:val="bullet"/>
      <w:lvlText w:val="-"/>
      <w:lvlJc w:val="left"/>
      <w:pPr>
        <w:ind w:left="720" w:hanging="360"/>
      </w:pPr>
      <w:rPr>
        <w:rFonts w:ascii="Times New Roman" w:eastAsiaTheme="minorHAnsi"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6A4CF4"/>
    <w:multiLevelType w:val="hybridMultilevel"/>
    <w:tmpl w:val="D1ECE74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5B0A6774"/>
    <w:multiLevelType w:val="hybridMultilevel"/>
    <w:tmpl w:val="28140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AA1870"/>
    <w:multiLevelType w:val="hybridMultilevel"/>
    <w:tmpl w:val="56A8F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FC7D42"/>
    <w:multiLevelType w:val="hybridMultilevel"/>
    <w:tmpl w:val="33F0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4"/>
  </w:num>
  <w:num w:numId="4">
    <w:abstractNumId w:val="22"/>
  </w:num>
  <w:num w:numId="5">
    <w:abstractNumId w:val="17"/>
  </w:num>
  <w:num w:numId="6">
    <w:abstractNumId w:val="7"/>
  </w:num>
  <w:num w:numId="7">
    <w:abstractNumId w:val="16"/>
  </w:num>
  <w:num w:numId="8">
    <w:abstractNumId w:val="23"/>
  </w:num>
  <w:num w:numId="9">
    <w:abstractNumId w:val="10"/>
  </w:num>
  <w:num w:numId="10">
    <w:abstractNumId w:val="0"/>
  </w:num>
  <w:num w:numId="11">
    <w:abstractNumId w:val="15"/>
  </w:num>
  <w:num w:numId="12">
    <w:abstractNumId w:val="9"/>
  </w:num>
  <w:num w:numId="13">
    <w:abstractNumId w:val="19"/>
  </w:num>
  <w:num w:numId="14">
    <w:abstractNumId w:val="2"/>
  </w:num>
  <w:num w:numId="15">
    <w:abstractNumId w:val="11"/>
  </w:num>
  <w:num w:numId="16">
    <w:abstractNumId w:val="5"/>
  </w:num>
  <w:num w:numId="17">
    <w:abstractNumId w:val="12"/>
  </w:num>
  <w:num w:numId="18">
    <w:abstractNumId w:val="14"/>
  </w:num>
  <w:num w:numId="19">
    <w:abstractNumId w:val="3"/>
  </w:num>
  <w:num w:numId="20">
    <w:abstractNumId w:val="18"/>
  </w:num>
  <w:num w:numId="21">
    <w:abstractNumId w:val="20"/>
  </w:num>
  <w:num w:numId="22">
    <w:abstractNumId w:val="6"/>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C24"/>
    <w:rsid w:val="000040FF"/>
    <w:rsid w:val="000229B5"/>
    <w:rsid w:val="00027B19"/>
    <w:rsid w:val="00043650"/>
    <w:rsid w:val="00043A05"/>
    <w:rsid w:val="00050857"/>
    <w:rsid w:val="00062D9C"/>
    <w:rsid w:val="00082880"/>
    <w:rsid w:val="00087433"/>
    <w:rsid w:val="00091E22"/>
    <w:rsid w:val="0009508D"/>
    <w:rsid w:val="000A6090"/>
    <w:rsid w:val="000C3A8C"/>
    <w:rsid w:val="000D2504"/>
    <w:rsid w:val="000D53D2"/>
    <w:rsid w:val="000E0B0F"/>
    <w:rsid w:val="000E584E"/>
    <w:rsid w:val="000F32D2"/>
    <w:rsid w:val="00111718"/>
    <w:rsid w:val="0011244A"/>
    <w:rsid w:val="00127CA9"/>
    <w:rsid w:val="00145D9D"/>
    <w:rsid w:val="00162B99"/>
    <w:rsid w:val="00187BCF"/>
    <w:rsid w:val="001A1A41"/>
    <w:rsid w:val="001B5C8E"/>
    <w:rsid w:val="001D52E0"/>
    <w:rsid w:val="00202538"/>
    <w:rsid w:val="00254764"/>
    <w:rsid w:val="00257AAD"/>
    <w:rsid w:val="00262D56"/>
    <w:rsid w:val="00265610"/>
    <w:rsid w:val="00270E3D"/>
    <w:rsid w:val="00284630"/>
    <w:rsid w:val="00284D8C"/>
    <w:rsid w:val="003104A6"/>
    <w:rsid w:val="00332F4E"/>
    <w:rsid w:val="00334212"/>
    <w:rsid w:val="00345544"/>
    <w:rsid w:val="00357831"/>
    <w:rsid w:val="00375933"/>
    <w:rsid w:val="003B7E99"/>
    <w:rsid w:val="003C6E21"/>
    <w:rsid w:val="003F335A"/>
    <w:rsid w:val="00406937"/>
    <w:rsid w:val="00415240"/>
    <w:rsid w:val="004164B8"/>
    <w:rsid w:val="00427C47"/>
    <w:rsid w:val="00475A99"/>
    <w:rsid w:val="00490CC8"/>
    <w:rsid w:val="004923FA"/>
    <w:rsid w:val="00494176"/>
    <w:rsid w:val="004A1978"/>
    <w:rsid w:val="004C7C1F"/>
    <w:rsid w:val="004F6334"/>
    <w:rsid w:val="00501874"/>
    <w:rsid w:val="005052B1"/>
    <w:rsid w:val="00511ABC"/>
    <w:rsid w:val="00517059"/>
    <w:rsid w:val="005252EE"/>
    <w:rsid w:val="00552EE4"/>
    <w:rsid w:val="005B2545"/>
    <w:rsid w:val="005B4567"/>
    <w:rsid w:val="005D3BCF"/>
    <w:rsid w:val="005E111D"/>
    <w:rsid w:val="005F05C2"/>
    <w:rsid w:val="0061042A"/>
    <w:rsid w:val="00630356"/>
    <w:rsid w:val="00652EC6"/>
    <w:rsid w:val="00660733"/>
    <w:rsid w:val="00665769"/>
    <w:rsid w:val="00667329"/>
    <w:rsid w:val="006A1E76"/>
    <w:rsid w:val="006B2B51"/>
    <w:rsid w:val="006C2FB5"/>
    <w:rsid w:val="006C5B21"/>
    <w:rsid w:val="006D5C24"/>
    <w:rsid w:val="006D7B1A"/>
    <w:rsid w:val="006F29C9"/>
    <w:rsid w:val="0070112C"/>
    <w:rsid w:val="00707788"/>
    <w:rsid w:val="007121E9"/>
    <w:rsid w:val="007166F6"/>
    <w:rsid w:val="00721621"/>
    <w:rsid w:val="0074539E"/>
    <w:rsid w:val="00754902"/>
    <w:rsid w:val="00756802"/>
    <w:rsid w:val="007820DB"/>
    <w:rsid w:val="007A0101"/>
    <w:rsid w:val="007D571E"/>
    <w:rsid w:val="0080049C"/>
    <w:rsid w:val="008106BA"/>
    <w:rsid w:val="00823983"/>
    <w:rsid w:val="00826633"/>
    <w:rsid w:val="008401DD"/>
    <w:rsid w:val="008564BB"/>
    <w:rsid w:val="00862859"/>
    <w:rsid w:val="00890027"/>
    <w:rsid w:val="008B0CF7"/>
    <w:rsid w:val="008D2388"/>
    <w:rsid w:val="00906A3F"/>
    <w:rsid w:val="009455BE"/>
    <w:rsid w:val="00964C62"/>
    <w:rsid w:val="009945B4"/>
    <w:rsid w:val="009A2011"/>
    <w:rsid w:val="009A2D3A"/>
    <w:rsid w:val="009A4256"/>
    <w:rsid w:val="009A4E6E"/>
    <w:rsid w:val="009B4FC9"/>
    <w:rsid w:val="009C1FDC"/>
    <w:rsid w:val="009E0D3F"/>
    <w:rsid w:val="009E1C38"/>
    <w:rsid w:val="009F0713"/>
    <w:rsid w:val="009F6A69"/>
    <w:rsid w:val="00A109BA"/>
    <w:rsid w:val="00A1543F"/>
    <w:rsid w:val="00A16646"/>
    <w:rsid w:val="00A4384C"/>
    <w:rsid w:val="00A51314"/>
    <w:rsid w:val="00A60BFF"/>
    <w:rsid w:val="00A612B7"/>
    <w:rsid w:val="00AB0B40"/>
    <w:rsid w:val="00AC1DED"/>
    <w:rsid w:val="00AC2E5B"/>
    <w:rsid w:val="00AE5692"/>
    <w:rsid w:val="00AF558B"/>
    <w:rsid w:val="00B31723"/>
    <w:rsid w:val="00B73B1E"/>
    <w:rsid w:val="00B74CAB"/>
    <w:rsid w:val="00B81B2E"/>
    <w:rsid w:val="00B8724A"/>
    <w:rsid w:val="00B9578B"/>
    <w:rsid w:val="00BA0305"/>
    <w:rsid w:val="00BB2CD3"/>
    <w:rsid w:val="00BC1299"/>
    <w:rsid w:val="00BC772C"/>
    <w:rsid w:val="00BD5F3E"/>
    <w:rsid w:val="00BE2DA9"/>
    <w:rsid w:val="00C14DE7"/>
    <w:rsid w:val="00C30A06"/>
    <w:rsid w:val="00C33550"/>
    <w:rsid w:val="00C402C0"/>
    <w:rsid w:val="00C52F67"/>
    <w:rsid w:val="00C609E4"/>
    <w:rsid w:val="00C65859"/>
    <w:rsid w:val="00C83634"/>
    <w:rsid w:val="00C942DA"/>
    <w:rsid w:val="00CA3DC7"/>
    <w:rsid w:val="00CA5566"/>
    <w:rsid w:val="00CA6EA4"/>
    <w:rsid w:val="00CC38CE"/>
    <w:rsid w:val="00CF100A"/>
    <w:rsid w:val="00D00163"/>
    <w:rsid w:val="00D00947"/>
    <w:rsid w:val="00D13CB3"/>
    <w:rsid w:val="00D17D42"/>
    <w:rsid w:val="00D25AA7"/>
    <w:rsid w:val="00D34E6A"/>
    <w:rsid w:val="00D460DC"/>
    <w:rsid w:val="00D6632A"/>
    <w:rsid w:val="00D821E9"/>
    <w:rsid w:val="00D90A0B"/>
    <w:rsid w:val="00DC7A30"/>
    <w:rsid w:val="00DE4B26"/>
    <w:rsid w:val="00DE63D9"/>
    <w:rsid w:val="00DF4561"/>
    <w:rsid w:val="00E02E4F"/>
    <w:rsid w:val="00E077F1"/>
    <w:rsid w:val="00E15403"/>
    <w:rsid w:val="00E2504B"/>
    <w:rsid w:val="00E2579E"/>
    <w:rsid w:val="00E4447B"/>
    <w:rsid w:val="00E61C82"/>
    <w:rsid w:val="00E9063D"/>
    <w:rsid w:val="00EA58D0"/>
    <w:rsid w:val="00EA6C73"/>
    <w:rsid w:val="00EB3144"/>
    <w:rsid w:val="00EB506A"/>
    <w:rsid w:val="00EB54DF"/>
    <w:rsid w:val="00EE25DA"/>
    <w:rsid w:val="00EF1E12"/>
    <w:rsid w:val="00F240C5"/>
    <w:rsid w:val="00F32822"/>
    <w:rsid w:val="00F3620C"/>
    <w:rsid w:val="00F43C3A"/>
    <w:rsid w:val="00F47C70"/>
    <w:rsid w:val="00F630A6"/>
    <w:rsid w:val="00F7007C"/>
    <w:rsid w:val="00FA05EB"/>
    <w:rsid w:val="00FC72B2"/>
    <w:rsid w:val="00FD4026"/>
    <w:rsid w:val="00FF3865"/>
    <w:rsid w:val="00FF4D68"/>
    <w:rsid w:val="00FF6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43BC2"/>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BodyText">
    <w:name w:val="Body Text"/>
    <w:basedOn w:val="Normal"/>
    <w:link w:val="BodyTextChar"/>
    <w:uiPriority w:val="1"/>
    <w:qFormat/>
    <w:rsid w:val="00494176"/>
    <w:pPr>
      <w:widowControl w:val="0"/>
      <w:spacing w:after="0" w:line="240" w:lineRule="auto"/>
      <w:ind w:left="119"/>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494176"/>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258</TotalTime>
  <Pages>4</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Chris Van Aken</cp:lastModifiedBy>
  <cp:revision>20</cp:revision>
  <cp:lastPrinted>2021-05-11T19:46:00Z</cp:lastPrinted>
  <dcterms:created xsi:type="dcterms:W3CDTF">2021-05-12T18:56:00Z</dcterms:created>
  <dcterms:modified xsi:type="dcterms:W3CDTF">2021-05-20T17:03:00Z</dcterms:modified>
</cp:coreProperties>
</file>